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48BA" w14:textId="77777777" w:rsidR="004C3466" w:rsidRPr="0031117E" w:rsidRDefault="004C3466" w:rsidP="004C3466">
      <w:pPr>
        <w:pStyle w:val="Heading1"/>
      </w:pPr>
      <w:bookmarkStart w:id="0" w:name="_Toc39653727"/>
      <w:bookmarkStart w:id="1" w:name="_Toc39659558"/>
      <w:bookmarkStart w:id="2" w:name="_Toc40443086"/>
      <w:r w:rsidRPr="0031117E">
        <w:t>1</w:t>
      </w:r>
      <w:r w:rsidRPr="0031117E">
        <w:tab/>
        <w:t>PoC Project Details</w:t>
      </w:r>
      <w:bookmarkEnd w:id="0"/>
      <w:bookmarkEnd w:id="1"/>
      <w:bookmarkEnd w:id="2"/>
    </w:p>
    <w:p w14:paraId="0315F472" w14:textId="77777777" w:rsidR="004C3466" w:rsidRPr="0031117E" w:rsidRDefault="004C3466" w:rsidP="004C3466">
      <w:pPr>
        <w:pStyle w:val="Heading2"/>
      </w:pPr>
      <w:bookmarkStart w:id="3" w:name="_Toc39653728"/>
      <w:bookmarkStart w:id="4" w:name="_Toc39659559"/>
      <w:bookmarkStart w:id="5" w:name="_Toc40443087"/>
      <w:r w:rsidRPr="0031117E">
        <w:t>1.1</w:t>
      </w:r>
      <w:r w:rsidRPr="0031117E">
        <w:tab/>
        <w:t>PoC Project</w:t>
      </w:r>
      <w:bookmarkEnd w:id="3"/>
      <w:bookmarkEnd w:id="4"/>
      <w:bookmarkEnd w:id="5"/>
    </w:p>
    <w:p w14:paraId="7C4F69F7" w14:textId="77777777" w:rsidR="004C3466" w:rsidRPr="0031117E" w:rsidRDefault="004C3466" w:rsidP="004C3466">
      <w:r w:rsidRPr="0031117E">
        <w:t>PoC Number (assigned by ETSI):</w:t>
      </w:r>
    </w:p>
    <w:p w14:paraId="0DA11D8D" w14:textId="3F5D0A6B" w:rsidR="004C3466" w:rsidRPr="005273D3" w:rsidRDefault="004C3466" w:rsidP="004C3466">
      <w:pPr>
        <w:rPr>
          <w:rFonts w:ascii="Batang" w:eastAsia="Batang" w:hAnsi="Batang" w:cs="Batang"/>
          <w:lang w:val="en-US" w:eastAsia="ko-KR"/>
        </w:rPr>
      </w:pPr>
      <w:r w:rsidRPr="0031117E">
        <w:t>PoC Project Name:</w:t>
      </w:r>
      <w:r w:rsidR="00360FC9">
        <w:t xml:space="preserve"> </w:t>
      </w:r>
      <w:r w:rsidR="00B77FBA">
        <w:t>Validating dataset using Data Quality Metrics and defined formular</w:t>
      </w:r>
    </w:p>
    <w:p w14:paraId="78F75527" w14:textId="6698E2F4" w:rsidR="004C3466" w:rsidRPr="00725789" w:rsidRDefault="004C3466" w:rsidP="004C3466">
      <w:pPr>
        <w:rPr>
          <w:lang w:val="en-US" w:eastAsia="ko-KR"/>
        </w:rPr>
      </w:pPr>
      <w:r w:rsidRPr="0031117E">
        <w:t>PoC Project Host:</w:t>
      </w:r>
      <w:r w:rsidR="00725789">
        <w:rPr>
          <w:rFonts w:hint="eastAsia"/>
          <w:lang w:eastAsia="ko-KR"/>
        </w:rPr>
        <w:t xml:space="preserve"> </w:t>
      </w:r>
      <w:r w:rsidR="00725789">
        <w:rPr>
          <w:lang w:val="en-US" w:eastAsia="ko-KR"/>
        </w:rPr>
        <w:t>Sejong University</w:t>
      </w:r>
    </w:p>
    <w:p w14:paraId="6D2EE9C2" w14:textId="65EB4F15" w:rsidR="00760E01" w:rsidRPr="00760E01" w:rsidRDefault="004C3466" w:rsidP="00345BFC">
      <w:pPr>
        <w:rPr>
          <w:lang w:eastAsia="ko-KR"/>
        </w:rPr>
      </w:pPr>
      <w:r w:rsidRPr="0031117E">
        <w:t>Short Description:</w:t>
      </w:r>
      <w:r w:rsidR="00345BFC">
        <w:rPr>
          <w:rFonts w:hint="eastAsia"/>
          <w:lang w:eastAsia="ko-KR"/>
        </w:rPr>
        <w:t xml:space="preserve"> </w:t>
      </w:r>
      <w:r w:rsidR="00760E01" w:rsidRPr="00760E01">
        <w:t xml:space="preserve">This </w:t>
      </w:r>
      <w:r w:rsidR="00760E01">
        <w:t>PoC</w:t>
      </w:r>
      <w:r w:rsidR="00760E01" w:rsidRPr="00760E01">
        <w:t xml:space="preserve"> proposes the development of a functional, open-source toolset to validate and score dataset quality based on the standardized Data Quality Metrics and verification formulas defined in ETSI TR 104 180 (Development and identification of Data Quality Metrics). The PoC will deliver a working, end-to-end pipeline demonstrating the automated assessment of data quality for a target dataset.</w:t>
      </w:r>
    </w:p>
    <w:p w14:paraId="3C6C1DE2" w14:textId="77777777" w:rsidR="004C3466" w:rsidRPr="0031117E" w:rsidRDefault="004C3466" w:rsidP="004C3466">
      <w:pPr>
        <w:pStyle w:val="Heading2"/>
      </w:pPr>
      <w:bookmarkStart w:id="6" w:name="_Toc39653729"/>
      <w:bookmarkStart w:id="7" w:name="_Toc39659560"/>
      <w:bookmarkStart w:id="8" w:name="_Toc40443088"/>
      <w:r w:rsidRPr="0031117E">
        <w:t>1.2</w:t>
      </w:r>
      <w:r w:rsidRPr="0031117E">
        <w:tab/>
        <w:t>PoC Team Members</w:t>
      </w:r>
      <w:bookmarkEnd w:id="6"/>
      <w:bookmarkEnd w:id="7"/>
      <w:bookmarkEnd w:id="8"/>
    </w:p>
    <w:p w14:paraId="1AC330FC" w14:textId="5F843D22" w:rsidR="004C3466" w:rsidRPr="0031117E" w:rsidRDefault="004C3466" w:rsidP="004C3466">
      <w:pPr>
        <w:pStyle w:val="TH"/>
      </w:pPr>
      <w:r w:rsidRPr="0031117E">
        <w:t>Table A.</w:t>
      </w:r>
      <w:r w:rsidR="003139B3">
        <w:t>1</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1134"/>
        <w:gridCol w:w="2126"/>
        <w:gridCol w:w="1276"/>
        <w:gridCol w:w="1207"/>
        <w:gridCol w:w="1626"/>
      </w:tblGrid>
      <w:tr w:rsidR="004C3466" w:rsidRPr="0031117E" w14:paraId="65BCA273" w14:textId="77777777" w:rsidTr="00B2422D">
        <w:trPr>
          <w:jc w:val="center"/>
        </w:trPr>
        <w:tc>
          <w:tcPr>
            <w:tcW w:w="279" w:type="dxa"/>
            <w:shd w:val="clear" w:color="auto" w:fill="D9D9D9"/>
            <w:vAlign w:val="center"/>
          </w:tcPr>
          <w:p w14:paraId="4D3AEAC5" w14:textId="77777777" w:rsidR="004C3466" w:rsidRPr="0031117E" w:rsidRDefault="004C3466">
            <w:pPr>
              <w:pStyle w:val="TAH"/>
            </w:pPr>
          </w:p>
        </w:tc>
        <w:tc>
          <w:tcPr>
            <w:tcW w:w="2126" w:type="dxa"/>
            <w:shd w:val="clear" w:color="auto" w:fill="D9D9D9"/>
            <w:vAlign w:val="center"/>
          </w:tcPr>
          <w:p w14:paraId="684D5C62" w14:textId="77777777" w:rsidR="004C3466" w:rsidRPr="0031117E" w:rsidRDefault="004C3466">
            <w:pPr>
              <w:pStyle w:val="TAH"/>
            </w:pPr>
            <w:r w:rsidRPr="0031117E">
              <w:t>Organization name</w:t>
            </w:r>
          </w:p>
        </w:tc>
        <w:tc>
          <w:tcPr>
            <w:tcW w:w="1134" w:type="dxa"/>
            <w:shd w:val="clear" w:color="auto" w:fill="D9D9D9"/>
            <w:vAlign w:val="center"/>
          </w:tcPr>
          <w:p w14:paraId="7ADE0D1D" w14:textId="1A5743AA" w:rsidR="004C3466" w:rsidRPr="0031117E" w:rsidRDefault="00B77FBA">
            <w:pPr>
              <w:pStyle w:val="TAH"/>
            </w:pPr>
            <w:r>
              <w:t xml:space="preserve">TC Data </w:t>
            </w:r>
            <w:r w:rsidR="004C3466" w:rsidRPr="0031117E">
              <w:t>participant</w:t>
            </w:r>
          </w:p>
          <w:p w14:paraId="33AA18DB" w14:textId="77777777" w:rsidR="004C3466" w:rsidRPr="0031117E" w:rsidRDefault="004C3466">
            <w:pPr>
              <w:pStyle w:val="TAH"/>
            </w:pPr>
            <w:r w:rsidRPr="0031117E">
              <w:t>(yes/no)</w:t>
            </w:r>
          </w:p>
        </w:tc>
        <w:tc>
          <w:tcPr>
            <w:tcW w:w="2126" w:type="dxa"/>
            <w:shd w:val="clear" w:color="auto" w:fill="D9D9D9"/>
            <w:vAlign w:val="center"/>
          </w:tcPr>
          <w:p w14:paraId="1F88650C" w14:textId="77777777" w:rsidR="004C3466" w:rsidRPr="0031117E" w:rsidRDefault="004C3466">
            <w:pPr>
              <w:pStyle w:val="TAH"/>
            </w:pPr>
            <w:r w:rsidRPr="0031117E">
              <w:t>Contact (Email)</w:t>
            </w:r>
          </w:p>
        </w:tc>
        <w:tc>
          <w:tcPr>
            <w:tcW w:w="1276" w:type="dxa"/>
            <w:shd w:val="clear" w:color="auto" w:fill="D9D9D9"/>
            <w:vAlign w:val="center"/>
          </w:tcPr>
          <w:p w14:paraId="4E994EE1" w14:textId="77777777" w:rsidR="004C3466" w:rsidRPr="0031117E" w:rsidRDefault="004C3466">
            <w:pPr>
              <w:pStyle w:val="TAH"/>
            </w:pPr>
            <w:r w:rsidRPr="0031117E">
              <w:t>PoC Point of Contact</w:t>
            </w:r>
          </w:p>
          <w:p w14:paraId="6A73FF8D" w14:textId="77777777" w:rsidR="004C3466" w:rsidRPr="0031117E" w:rsidRDefault="004C3466">
            <w:pPr>
              <w:pStyle w:val="TAH"/>
            </w:pPr>
            <w:r w:rsidRPr="0031117E">
              <w:t>(see note 1)</w:t>
            </w:r>
          </w:p>
        </w:tc>
        <w:tc>
          <w:tcPr>
            <w:tcW w:w="1207" w:type="dxa"/>
            <w:shd w:val="clear" w:color="auto" w:fill="D9D9D9"/>
            <w:vAlign w:val="center"/>
          </w:tcPr>
          <w:p w14:paraId="7F1FC10D" w14:textId="77777777" w:rsidR="004C3466" w:rsidRPr="0031117E" w:rsidRDefault="004C3466">
            <w:pPr>
              <w:pStyle w:val="TAH"/>
            </w:pPr>
            <w:r w:rsidRPr="0031117E">
              <w:t>Role</w:t>
            </w:r>
            <w:r>
              <w:br/>
            </w:r>
            <w:r w:rsidRPr="0031117E">
              <w:t>(see note 2)</w:t>
            </w:r>
          </w:p>
        </w:tc>
        <w:tc>
          <w:tcPr>
            <w:tcW w:w="1626" w:type="dxa"/>
            <w:shd w:val="clear" w:color="auto" w:fill="D9D9D9"/>
            <w:vAlign w:val="center"/>
          </w:tcPr>
          <w:p w14:paraId="003E0118" w14:textId="77777777" w:rsidR="004C3466" w:rsidRPr="0031117E" w:rsidRDefault="004C3466">
            <w:pPr>
              <w:pStyle w:val="TAH"/>
            </w:pPr>
            <w:r w:rsidRPr="0031117E">
              <w:t>PoC Components</w:t>
            </w:r>
          </w:p>
        </w:tc>
      </w:tr>
      <w:tr w:rsidR="004C3466" w:rsidRPr="0031117E" w14:paraId="37BCB0B9" w14:textId="77777777" w:rsidTr="00B2422D">
        <w:trPr>
          <w:jc w:val="center"/>
        </w:trPr>
        <w:tc>
          <w:tcPr>
            <w:tcW w:w="279" w:type="dxa"/>
            <w:vAlign w:val="center"/>
          </w:tcPr>
          <w:p w14:paraId="10B1007B" w14:textId="67025A6D" w:rsidR="003139B3" w:rsidRPr="0031117E" w:rsidRDefault="004C3466" w:rsidP="00B2422D">
            <w:pPr>
              <w:pStyle w:val="TAL"/>
              <w:jc w:val="center"/>
            </w:pPr>
            <w:r w:rsidRPr="0031117E">
              <w:t>1</w:t>
            </w:r>
          </w:p>
        </w:tc>
        <w:tc>
          <w:tcPr>
            <w:tcW w:w="2126" w:type="dxa"/>
            <w:vAlign w:val="center"/>
          </w:tcPr>
          <w:p w14:paraId="716C235B" w14:textId="63FE32D2" w:rsidR="004C3466" w:rsidRPr="0031117E" w:rsidRDefault="003139B3" w:rsidP="000C42F9">
            <w:pPr>
              <w:pStyle w:val="TAL"/>
            </w:pPr>
            <w:r>
              <w:t>Sejong University (SJU)</w:t>
            </w:r>
          </w:p>
        </w:tc>
        <w:tc>
          <w:tcPr>
            <w:tcW w:w="1134" w:type="dxa"/>
            <w:vAlign w:val="center"/>
          </w:tcPr>
          <w:p w14:paraId="5C954E7F" w14:textId="65842707" w:rsidR="004C3466" w:rsidRPr="003139B3" w:rsidRDefault="003139B3" w:rsidP="000C42F9">
            <w:pPr>
              <w:pStyle w:val="TAL"/>
              <w:rPr>
                <w:rFonts w:eastAsia="Batang" w:cs="Arial"/>
                <w:lang w:val="en-US" w:eastAsia="ko-KR"/>
              </w:rPr>
            </w:pPr>
            <w:r>
              <w:rPr>
                <w:rFonts w:eastAsia="Batang" w:cs="Arial"/>
                <w:lang w:val="en-US" w:eastAsia="ko-KR"/>
              </w:rPr>
              <w:t>Yes</w:t>
            </w:r>
          </w:p>
        </w:tc>
        <w:tc>
          <w:tcPr>
            <w:tcW w:w="2126" w:type="dxa"/>
            <w:vAlign w:val="center"/>
          </w:tcPr>
          <w:p w14:paraId="66F14250" w14:textId="0310052D" w:rsidR="004C3466" w:rsidRPr="0031117E" w:rsidRDefault="00DD1011" w:rsidP="000C42F9">
            <w:pPr>
              <w:pStyle w:val="TAL"/>
            </w:pPr>
            <w:r>
              <w:t>jssong@sejong.ac.kr</w:t>
            </w:r>
          </w:p>
        </w:tc>
        <w:tc>
          <w:tcPr>
            <w:tcW w:w="1276" w:type="dxa"/>
            <w:vAlign w:val="center"/>
          </w:tcPr>
          <w:p w14:paraId="5089F1A5" w14:textId="1F29982F" w:rsidR="004C3466" w:rsidRPr="00DD1011" w:rsidRDefault="00DD1011" w:rsidP="000C42F9">
            <w:pPr>
              <w:pStyle w:val="TAL"/>
              <w:rPr>
                <w:rFonts w:eastAsia="Batang" w:cs="Arial"/>
                <w:lang w:val="en-US" w:eastAsia="ko-KR"/>
              </w:rPr>
            </w:pPr>
            <w:r w:rsidRPr="00DD1011">
              <w:rPr>
                <w:rFonts w:eastAsia="Batang" w:cs="Arial"/>
                <w:lang w:val="en-US" w:eastAsia="ko-KR"/>
              </w:rPr>
              <w:t>X</w:t>
            </w:r>
          </w:p>
        </w:tc>
        <w:tc>
          <w:tcPr>
            <w:tcW w:w="1207" w:type="dxa"/>
            <w:vAlign w:val="center"/>
          </w:tcPr>
          <w:p w14:paraId="57082713" w14:textId="4EBBCD5C" w:rsidR="004C3466" w:rsidRPr="003139B3" w:rsidRDefault="00DD1011" w:rsidP="000C42F9">
            <w:pPr>
              <w:pStyle w:val="TAL"/>
              <w:rPr>
                <w:lang w:val="en-US" w:eastAsia="ko-KR"/>
              </w:rPr>
            </w:pPr>
            <w:r>
              <w:rPr>
                <w:lang w:val="en-US" w:eastAsia="ko-KR"/>
              </w:rPr>
              <w:t>Application provider</w:t>
            </w:r>
          </w:p>
        </w:tc>
        <w:tc>
          <w:tcPr>
            <w:tcW w:w="1626" w:type="dxa"/>
            <w:vAlign w:val="center"/>
          </w:tcPr>
          <w:p w14:paraId="6ECFDF76" w14:textId="161ADCC1" w:rsidR="003139B3" w:rsidRPr="0031117E" w:rsidRDefault="00B77FBA" w:rsidP="000C42F9">
            <w:pPr>
              <w:pStyle w:val="TAL"/>
            </w:pPr>
            <w:r>
              <w:rPr>
                <w:rFonts w:eastAsia="Batang" w:cs="Arial"/>
                <w:lang w:val="en-US" w:eastAsia="ko-KR"/>
              </w:rPr>
              <w:t>Front and backend development</w:t>
            </w:r>
          </w:p>
        </w:tc>
      </w:tr>
      <w:tr w:rsidR="004C3466" w:rsidRPr="0031117E" w14:paraId="5CBF764E" w14:textId="77777777" w:rsidTr="00B2422D">
        <w:trPr>
          <w:jc w:val="center"/>
        </w:trPr>
        <w:tc>
          <w:tcPr>
            <w:tcW w:w="279" w:type="dxa"/>
            <w:vAlign w:val="center"/>
          </w:tcPr>
          <w:p w14:paraId="5CD4709D" w14:textId="77777777" w:rsidR="004C3466" w:rsidRPr="0031117E" w:rsidRDefault="004C3466" w:rsidP="00B2422D">
            <w:pPr>
              <w:pStyle w:val="TAL"/>
              <w:jc w:val="center"/>
            </w:pPr>
            <w:r w:rsidRPr="0031117E">
              <w:t>2</w:t>
            </w:r>
          </w:p>
        </w:tc>
        <w:tc>
          <w:tcPr>
            <w:tcW w:w="2126" w:type="dxa"/>
            <w:vAlign w:val="center"/>
          </w:tcPr>
          <w:p w14:paraId="5CF114D8" w14:textId="33FB7260" w:rsidR="004C3466" w:rsidRPr="0031117E" w:rsidRDefault="00B77FBA" w:rsidP="000C42F9">
            <w:pPr>
              <w:pStyle w:val="TAL"/>
            </w:pPr>
            <w:r>
              <w:t>EGM</w:t>
            </w:r>
          </w:p>
        </w:tc>
        <w:tc>
          <w:tcPr>
            <w:tcW w:w="1134" w:type="dxa"/>
            <w:vAlign w:val="center"/>
          </w:tcPr>
          <w:p w14:paraId="27B98C32" w14:textId="61996FD9" w:rsidR="004C3466" w:rsidRPr="0031117E" w:rsidRDefault="00B77FBA" w:rsidP="000C42F9">
            <w:pPr>
              <w:pStyle w:val="TAL"/>
            </w:pPr>
            <w:r>
              <w:t>Yes</w:t>
            </w:r>
          </w:p>
        </w:tc>
        <w:tc>
          <w:tcPr>
            <w:tcW w:w="2126" w:type="dxa"/>
            <w:vAlign w:val="center"/>
          </w:tcPr>
          <w:p w14:paraId="144418F5" w14:textId="05FA5D7B" w:rsidR="004C3466" w:rsidRPr="0031117E" w:rsidRDefault="004C3466" w:rsidP="000C42F9">
            <w:pPr>
              <w:pStyle w:val="TAL"/>
            </w:pPr>
          </w:p>
        </w:tc>
        <w:tc>
          <w:tcPr>
            <w:tcW w:w="1276" w:type="dxa"/>
            <w:vAlign w:val="center"/>
          </w:tcPr>
          <w:p w14:paraId="137E2ABA" w14:textId="68F5223D" w:rsidR="004C3466" w:rsidRPr="0031117E" w:rsidRDefault="004C3466" w:rsidP="000C42F9">
            <w:pPr>
              <w:pStyle w:val="TAL"/>
            </w:pPr>
          </w:p>
        </w:tc>
        <w:tc>
          <w:tcPr>
            <w:tcW w:w="1207" w:type="dxa"/>
            <w:vAlign w:val="center"/>
          </w:tcPr>
          <w:p w14:paraId="6A39CC21" w14:textId="6C3941E6" w:rsidR="004C3466" w:rsidRPr="0031117E" w:rsidRDefault="00B77FBA" w:rsidP="000C42F9">
            <w:pPr>
              <w:pStyle w:val="TAL"/>
            </w:pPr>
            <w:r>
              <w:t>Infrastructure provider</w:t>
            </w:r>
          </w:p>
        </w:tc>
        <w:tc>
          <w:tcPr>
            <w:tcW w:w="1626" w:type="dxa"/>
            <w:vAlign w:val="center"/>
          </w:tcPr>
          <w:p w14:paraId="4658EE6C" w14:textId="019A0336" w:rsidR="004C3466" w:rsidRPr="003139B3" w:rsidRDefault="00B77FBA" w:rsidP="000C42F9">
            <w:pPr>
              <w:pStyle w:val="TAL"/>
              <w:rPr>
                <w:rFonts w:eastAsia="Batang" w:cs="Arial"/>
                <w:lang w:val="en-US" w:eastAsia="ko-KR"/>
              </w:rPr>
            </w:pPr>
            <w:r>
              <w:rPr>
                <w:rFonts w:eastAsia="Batang" w:cs="Arial"/>
                <w:lang w:val="en-US" w:eastAsia="ko-KR"/>
              </w:rPr>
              <w:t>Backend and library development</w:t>
            </w:r>
          </w:p>
        </w:tc>
      </w:tr>
      <w:tr w:rsidR="004C3466" w:rsidRPr="0031117E" w14:paraId="2DD7B107" w14:textId="77777777" w:rsidTr="00B2422D">
        <w:trPr>
          <w:jc w:val="center"/>
        </w:trPr>
        <w:tc>
          <w:tcPr>
            <w:tcW w:w="279" w:type="dxa"/>
            <w:vAlign w:val="center"/>
          </w:tcPr>
          <w:p w14:paraId="382A7CB5" w14:textId="77777777" w:rsidR="004C3466" w:rsidRPr="0031117E" w:rsidRDefault="004C3466" w:rsidP="00B2422D">
            <w:pPr>
              <w:pStyle w:val="TAL"/>
              <w:jc w:val="center"/>
            </w:pPr>
            <w:r w:rsidRPr="0031117E">
              <w:t>3</w:t>
            </w:r>
          </w:p>
        </w:tc>
        <w:tc>
          <w:tcPr>
            <w:tcW w:w="2126" w:type="dxa"/>
            <w:vAlign w:val="center"/>
          </w:tcPr>
          <w:p w14:paraId="50FEF495" w14:textId="2A700E43" w:rsidR="004C3466" w:rsidRPr="0031117E" w:rsidRDefault="00B77FBA" w:rsidP="000C42F9">
            <w:pPr>
              <w:pStyle w:val="TAL"/>
            </w:pPr>
            <w:r>
              <w:t>TTA</w:t>
            </w:r>
          </w:p>
        </w:tc>
        <w:tc>
          <w:tcPr>
            <w:tcW w:w="1134" w:type="dxa"/>
            <w:vAlign w:val="center"/>
          </w:tcPr>
          <w:p w14:paraId="5FF9E73F" w14:textId="48189A47" w:rsidR="004C3466" w:rsidRPr="0031117E" w:rsidRDefault="003139B3" w:rsidP="000C42F9">
            <w:pPr>
              <w:pStyle w:val="TAL"/>
            </w:pPr>
            <w:r>
              <w:t>No</w:t>
            </w:r>
          </w:p>
        </w:tc>
        <w:tc>
          <w:tcPr>
            <w:tcW w:w="2126" w:type="dxa"/>
            <w:vAlign w:val="center"/>
          </w:tcPr>
          <w:p w14:paraId="1129440A" w14:textId="29D47265" w:rsidR="00B2422D" w:rsidRPr="00B2422D" w:rsidRDefault="00B77FBA" w:rsidP="000C42F9">
            <w:pPr>
              <w:pStyle w:val="TAL"/>
              <w:rPr>
                <w:lang w:eastAsia="ko-KR"/>
              </w:rPr>
            </w:pPr>
            <w:r w:rsidRPr="00B77FBA">
              <w:t>keebum.kim@tta.or.kr</w:t>
            </w:r>
          </w:p>
        </w:tc>
        <w:tc>
          <w:tcPr>
            <w:tcW w:w="1276" w:type="dxa"/>
            <w:vAlign w:val="center"/>
          </w:tcPr>
          <w:p w14:paraId="7723F98A" w14:textId="1F2F6DBB" w:rsidR="004C3466" w:rsidRPr="0031117E" w:rsidRDefault="004C3466" w:rsidP="000C42F9">
            <w:pPr>
              <w:pStyle w:val="TAL"/>
            </w:pPr>
          </w:p>
        </w:tc>
        <w:tc>
          <w:tcPr>
            <w:tcW w:w="1207" w:type="dxa"/>
            <w:vAlign w:val="center"/>
          </w:tcPr>
          <w:p w14:paraId="3A290F08" w14:textId="5D98887E" w:rsidR="004C3466" w:rsidRPr="0031117E" w:rsidRDefault="00B77FBA" w:rsidP="000C42F9">
            <w:pPr>
              <w:pStyle w:val="TAL"/>
            </w:pPr>
            <w:r>
              <w:t>Reviewer</w:t>
            </w:r>
          </w:p>
        </w:tc>
        <w:tc>
          <w:tcPr>
            <w:tcW w:w="1626" w:type="dxa"/>
            <w:vAlign w:val="center"/>
          </w:tcPr>
          <w:p w14:paraId="54326EF6" w14:textId="16644E83" w:rsidR="004C3466" w:rsidRPr="0031117E" w:rsidRDefault="004C3466" w:rsidP="000C42F9">
            <w:pPr>
              <w:pStyle w:val="TAL"/>
            </w:pPr>
          </w:p>
        </w:tc>
      </w:tr>
      <w:tr w:rsidR="00B2422D" w:rsidRPr="0031117E" w14:paraId="340F8154" w14:textId="77777777" w:rsidTr="00B2422D">
        <w:trPr>
          <w:jc w:val="center"/>
        </w:trPr>
        <w:tc>
          <w:tcPr>
            <w:tcW w:w="279" w:type="dxa"/>
            <w:vAlign w:val="center"/>
          </w:tcPr>
          <w:p w14:paraId="6C7F1384" w14:textId="51E1470F" w:rsidR="00B2422D" w:rsidRPr="0031117E" w:rsidRDefault="00B2422D" w:rsidP="00B2422D">
            <w:pPr>
              <w:pStyle w:val="TAL"/>
              <w:jc w:val="center"/>
              <w:rPr>
                <w:lang w:eastAsia="ko-KR"/>
              </w:rPr>
            </w:pPr>
            <w:r>
              <w:rPr>
                <w:rFonts w:hint="eastAsia"/>
                <w:lang w:eastAsia="ko-KR"/>
              </w:rPr>
              <w:t>4</w:t>
            </w:r>
          </w:p>
        </w:tc>
        <w:tc>
          <w:tcPr>
            <w:tcW w:w="2126" w:type="dxa"/>
            <w:vAlign w:val="center"/>
          </w:tcPr>
          <w:p w14:paraId="621CA9D5" w14:textId="0187F4FA" w:rsidR="00B2422D" w:rsidRPr="00B2422D" w:rsidRDefault="00B2422D" w:rsidP="00B2422D">
            <w:pPr>
              <w:pStyle w:val="TAL"/>
              <w:rPr>
                <w:rFonts w:ascii="Batang" w:eastAsia="Batang" w:hAnsi="Batang" w:cs="Batang"/>
                <w:lang w:val="en-US" w:eastAsia="ko-KR"/>
              </w:rPr>
            </w:pPr>
            <w:r>
              <w:t>Daejeon University</w:t>
            </w:r>
            <w:r>
              <w:rPr>
                <w:rFonts w:hint="eastAsia"/>
                <w:lang w:eastAsia="ko-KR"/>
              </w:rPr>
              <w:t xml:space="preserve"> (</w:t>
            </w:r>
            <w:r>
              <w:rPr>
                <w:lang w:eastAsia="ko-KR"/>
              </w:rPr>
              <w:t>DJU)</w:t>
            </w:r>
          </w:p>
        </w:tc>
        <w:tc>
          <w:tcPr>
            <w:tcW w:w="1134" w:type="dxa"/>
            <w:vAlign w:val="center"/>
          </w:tcPr>
          <w:p w14:paraId="00AC4C64" w14:textId="7C0B7320" w:rsidR="00B2422D" w:rsidRDefault="00B2422D" w:rsidP="00B2422D">
            <w:pPr>
              <w:pStyle w:val="TAL"/>
            </w:pPr>
            <w:r>
              <w:t>No</w:t>
            </w:r>
          </w:p>
        </w:tc>
        <w:tc>
          <w:tcPr>
            <w:tcW w:w="2126" w:type="dxa"/>
            <w:vAlign w:val="center"/>
          </w:tcPr>
          <w:p w14:paraId="6CFB3D0A" w14:textId="67A3D38D" w:rsidR="00B2422D" w:rsidRPr="00B77FBA" w:rsidRDefault="00B2422D" w:rsidP="00B2422D">
            <w:pPr>
              <w:pStyle w:val="TAL"/>
              <w:rPr>
                <w:lang w:eastAsia="ko-KR"/>
              </w:rPr>
            </w:pPr>
            <w:r w:rsidRPr="00B2422D">
              <w:rPr>
                <w:lang w:eastAsia="ko-KR"/>
              </w:rPr>
              <w:t>yghong@o365.dju.ac.kr</w:t>
            </w:r>
          </w:p>
        </w:tc>
        <w:tc>
          <w:tcPr>
            <w:tcW w:w="1276" w:type="dxa"/>
            <w:vAlign w:val="center"/>
          </w:tcPr>
          <w:p w14:paraId="7D61A8FC" w14:textId="74A7EB27" w:rsidR="00B2422D" w:rsidRDefault="00B2422D" w:rsidP="00B2422D">
            <w:pPr>
              <w:pStyle w:val="TAL"/>
              <w:rPr>
                <w:lang w:eastAsia="ko-KR"/>
              </w:rPr>
            </w:pPr>
          </w:p>
        </w:tc>
        <w:tc>
          <w:tcPr>
            <w:tcW w:w="1207" w:type="dxa"/>
            <w:vAlign w:val="center"/>
          </w:tcPr>
          <w:p w14:paraId="269CB69F" w14:textId="1EB20CDA" w:rsidR="00B2422D" w:rsidRPr="00B2422D" w:rsidRDefault="00B2422D" w:rsidP="00B2422D">
            <w:pPr>
              <w:pStyle w:val="TAL"/>
              <w:rPr>
                <w:rFonts w:ascii="Batang" w:eastAsia="Batang" w:hAnsi="Batang" w:cs="Batang"/>
                <w:lang w:eastAsia="ko-KR"/>
              </w:rPr>
            </w:pPr>
            <w:r>
              <w:rPr>
                <w:lang w:val="en-US" w:eastAsia="ko-KR"/>
              </w:rPr>
              <w:t>Application provider</w:t>
            </w:r>
          </w:p>
        </w:tc>
        <w:tc>
          <w:tcPr>
            <w:tcW w:w="1626" w:type="dxa"/>
            <w:vAlign w:val="center"/>
          </w:tcPr>
          <w:p w14:paraId="6516BAF7" w14:textId="2DF790CE" w:rsidR="00B2422D" w:rsidRPr="00B2422D" w:rsidRDefault="00B2422D" w:rsidP="00B2422D">
            <w:pPr>
              <w:pStyle w:val="TAL"/>
              <w:rPr>
                <w:rFonts w:ascii="Batang" w:eastAsia="Batang" w:hAnsi="Batang" w:cs="Batang"/>
                <w:lang w:eastAsia="ko-KR"/>
              </w:rPr>
            </w:pPr>
            <w:r>
              <w:rPr>
                <w:lang w:val="en-US" w:eastAsia="ko-KR"/>
              </w:rPr>
              <w:t>Formular development</w:t>
            </w:r>
          </w:p>
        </w:tc>
      </w:tr>
      <w:tr w:rsidR="00B2422D" w:rsidRPr="0031117E" w14:paraId="7B3F5A9C" w14:textId="77777777" w:rsidTr="00B2422D">
        <w:trPr>
          <w:jc w:val="center"/>
        </w:trPr>
        <w:tc>
          <w:tcPr>
            <w:tcW w:w="279" w:type="dxa"/>
            <w:vAlign w:val="center"/>
          </w:tcPr>
          <w:p w14:paraId="7FBFA4E1" w14:textId="44A0B982" w:rsidR="00B2422D" w:rsidRPr="0031117E" w:rsidRDefault="00B2422D" w:rsidP="00B2422D">
            <w:pPr>
              <w:pStyle w:val="TAL"/>
              <w:jc w:val="center"/>
              <w:rPr>
                <w:lang w:eastAsia="ko-KR"/>
              </w:rPr>
            </w:pPr>
            <w:r>
              <w:rPr>
                <w:rFonts w:hint="eastAsia"/>
                <w:lang w:eastAsia="ko-KR"/>
              </w:rPr>
              <w:t>5</w:t>
            </w:r>
          </w:p>
        </w:tc>
        <w:tc>
          <w:tcPr>
            <w:tcW w:w="2126" w:type="dxa"/>
            <w:vAlign w:val="center"/>
          </w:tcPr>
          <w:p w14:paraId="76254C2A" w14:textId="0957818E" w:rsidR="00B2422D" w:rsidRDefault="00B2422D" w:rsidP="00B2422D">
            <w:pPr>
              <w:pStyle w:val="TAL"/>
            </w:pPr>
            <w:r>
              <w:t>CNIT</w:t>
            </w:r>
          </w:p>
        </w:tc>
        <w:tc>
          <w:tcPr>
            <w:tcW w:w="1134" w:type="dxa"/>
            <w:vAlign w:val="center"/>
          </w:tcPr>
          <w:p w14:paraId="0FE7CDD7" w14:textId="1141FB38" w:rsidR="00B2422D" w:rsidRDefault="00B2422D" w:rsidP="00B2422D">
            <w:pPr>
              <w:pStyle w:val="TAL"/>
            </w:pPr>
            <w:r>
              <w:t>Yes</w:t>
            </w:r>
          </w:p>
        </w:tc>
        <w:tc>
          <w:tcPr>
            <w:tcW w:w="2126" w:type="dxa"/>
            <w:vAlign w:val="center"/>
          </w:tcPr>
          <w:p w14:paraId="4AD057D8" w14:textId="48FE9660" w:rsidR="00B2422D" w:rsidRDefault="009248CB" w:rsidP="00B2422D">
            <w:pPr>
              <w:pStyle w:val="TAL"/>
            </w:pPr>
            <w:r w:rsidRPr="009248CB">
              <w:t>paolo.pagano@cnit.it</w:t>
            </w:r>
          </w:p>
        </w:tc>
        <w:tc>
          <w:tcPr>
            <w:tcW w:w="1276" w:type="dxa"/>
            <w:vAlign w:val="center"/>
          </w:tcPr>
          <w:p w14:paraId="35C6CFC9" w14:textId="77777777" w:rsidR="00B2422D" w:rsidRDefault="00B2422D" w:rsidP="00B2422D">
            <w:pPr>
              <w:pStyle w:val="TAL"/>
            </w:pPr>
          </w:p>
        </w:tc>
        <w:tc>
          <w:tcPr>
            <w:tcW w:w="1207" w:type="dxa"/>
            <w:vAlign w:val="center"/>
          </w:tcPr>
          <w:p w14:paraId="271E3574" w14:textId="7FA53861" w:rsidR="00B2422D" w:rsidRDefault="009248CB" w:rsidP="00B2422D">
            <w:pPr>
              <w:pStyle w:val="TAL"/>
            </w:pPr>
            <w:r>
              <w:t>Data provider</w:t>
            </w:r>
          </w:p>
        </w:tc>
        <w:tc>
          <w:tcPr>
            <w:tcW w:w="1626" w:type="dxa"/>
            <w:vAlign w:val="center"/>
          </w:tcPr>
          <w:p w14:paraId="4CF5580A" w14:textId="77777777" w:rsidR="00B2422D" w:rsidRPr="0031117E" w:rsidRDefault="00B2422D" w:rsidP="00B2422D">
            <w:pPr>
              <w:pStyle w:val="TAL"/>
            </w:pPr>
          </w:p>
        </w:tc>
      </w:tr>
      <w:tr w:rsidR="00B2422D" w:rsidRPr="0031117E" w14:paraId="39C23272" w14:textId="77777777" w:rsidTr="00B2422D">
        <w:trPr>
          <w:jc w:val="center"/>
        </w:trPr>
        <w:tc>
          <w:tcPr>
            <w:tcW w:w="279" w:type="dxa"/>
            <w:vAlign w:val="center"/>
          </w:tcPr>
          <w:p w14:paraId="46AF3554" w14:textId="77777777" w:rsidR="00B2422D" w:rsidRPr="0031117E" w:rsidRDefault="00B2422D" w:rsidP="00B2422D">
            <w:pPr>
              <w:pStyle w:val="TAL"/>
              <w:jc w:val="center"/>
            </w:pPr>
            <w:r w:rsidRPr="0031117E">
              <w:t>…</w:t>
            </w:r>
          </w:p>
        </w:tc>
        <w:tc>
          <w:tcPr>
            <w:tcW w:w="2126" w:type="dxa"/>
            <w:vAlign w:val="center"/>
          </w:tcPr>
          <w:p w14:paraId="4A9DC4E9" w14:textId="77777777" w:rsidR="00B2422D" w:rsidRPr="0031117E" w:rsidRDefault="00B2422D" w:rsidP="00B2422D">
            <w:pPr>
              <w:pStyle w:val="TAL"/>
            </w:pPr>
          </w:p>
        </w:tc>
        <w:tc>
          <w:tcPr>
            <w:tcW w:w="1134" w:type="dxa"/>
            <w:vAlign w:val="center"/>
          </w:tcPr>
          <w:p w14:paraId="2197FFFB" w14:textId="77777777" w:rsidR="00B2422D" w:rsidRPr="0031117E" w:rsidRDefault="00B2422D" w:rsidP="00B2422D">
            <w:pPr>
              <w:pStyle w:val="TAL"/>
            </w:pPr>
          </w:p>
        </w:tc>
        <w:tc>
          <w:tcPr>
            <w:tcW w:w="2126" w:type="dxa"/>
            <w:vAlign w:val="center"/>
          </w:tcPr>
          <w:p w14:paraId="5F43F1C9" w14:textId="77777777" w:rsidR="00B2422D" w:rsidRPr="0031117E" w:rsidRDefault="00B2422D" w:rsidP="00B2422D">
            <w:pPr>
              <w:pStyle w:val="TAL"/>
            </w:pPr>
          </w:p>
        </w:tc>
        <w:tc>
          <w:tcPr>
            <w:tcW w:w="1276" w:type="dxa"/>
            <w:vAlign w:val="center"/>
          </w:tcPr>
          <w:p w14:paraId="4C9F8F4D" w14:textId="77777777" w:rsidR="00B2422D" w:rsidRPr="0031117E" w:rsidRDefault="00B2422D" w:rsidP="00B2422D">
            <w:pPr>
              <w:pStyle w:val="TAL"/>
            </w:pPr>
          </w:p>
        </w:tc>
        <w:tc>
          <w:tcPr>
            <w:tcW w:w="1207" w:type="dxa"/>
            <w:vAlign w:val="center"/>
          </w:tcPr>
          <w:p w14:paraId="20494A4D" w14:textId="77777777" w:rsidR="00B2422D" w:rsidRPr="0031117E" w:rsidRDefault="00B2422D" w:rsidP="00B2422D">
            <w:pPr>
              <w:pStyle w:val="TAL"/>
            </w:pPr>
          </w:p>
        </w:tc>
        <w:tc>
          <w:tcPr>
            <w:tcW w:w="1626" w:type="dxa"/>
            <w:vAlign w:val="center"/>
          </w:tcPr>
          <w:p w14:paraId="36B430D5" w14:textId="77777777" w:rsidR="00B2422D" w:rsidRPr="0031117E" w:rsidRDefault="00B2422D" w:rsidP="00B2422D">
            <w:pPr>
              <w:pStyle w:val="TAL"/>
            </w:pPr>
          </w:p>
        </w:tc>
      </w:tr>
      <w:tr w:rsidR="00B2422D" w:rsidRPr="0031117E" w14:paraId="33AC6E31" w14:textId="77777777">
        <w:trPr>
          <w:jc w:val="center"/>
        </w:trPr>
        <w:tc>
          <w:tcPr>
            <w:tcW w:w="9774" w:type="dxa"/>
            <w:gridSpan w:val="7"/>
            <w:vAlign w:val="center"/>
          </w:tcPr>
          <w:p w14:paraId="6A161BCC" w14:textId="77777777" w:rsidR="00B2422D" w:rsidRPr="0031117E" w:rsidRDefault="00B2422D" w:rsidP="00B2422D">
            <w:pPr>
              <w:pStyle w:val="TAN"/>
            </w:pPr>
            <w:r w:rsidRPr="0031117E">
              <w:t>NOTE 1:</w:t>
            </w:r>
            <w:r w:rsidRPr="0031117E">
              <w:tab/>
              <w:t>Identify the PoC Point of Contact with an X.</w:t>
            </w:r>
          </w:p>
          <w:p w14:paraId="6D355FE3" w14:textId="77777777" w:rsidR="00B2422D" w:rsidRPr="0031117E" w:rsidRDefault="00B2422D" w:rsidP="00B2422D">
            <w:pPr>
              <w:pStyle w:val="TAN"/>
            </w:pPr>
            <w:r w:rsidRPr="0031117E">
              <w:t>NOTE 2:</w:t>
            </w:r>
            <w:r w:rsidRPr="0031117E">
              <w:tab/>
              <w:t>The Role will be network operator/service provider, infrastructure provider, application provider or other as given in the Definitions of ETSI Classes of membership.</w:t>
            </w:r>
          </w:p>
        </w:tc>
      </w:tr>
    </w:tbl>
    <w:p w14:paraId="790C28D6" w14:textId="77777777" w:rsidR="004C3466" w:rsidRPr="0031117E" w:rsidRDefault="004C3466" w:rsidP="004C3466"/>
    <w:p w14:paraId="62878E2E" w14:textId="77777777" w:rsidR="004C3466" w:rsidRPr="0031117E" w:rsidRDefault="004C3466" w:rsidP="004C3466">
      <w:r w:rsidRPr="0031117E">
        <w:t>All the PoC Team members listed above declare that the information in this proposal is conformant to their plans at this date and commit to inform ETSI timely in case of changes in the PoC Team, scope or timeline.</w:t>
      </w:r>
    </w:p>
    <w:p w14:paraId="05665EE5" w14:textId="77777777" w:rsidR="004C3466" w:rsidRPr="0031117E" w:rsidRDefault="004C3466" w:rsidP="004C3466">
      <w:pPr>
        <w:pStyle w:val="Heading2"/>
      </w:pPr>
      <w:bookmarkStart w:id="9" w:name="_Toc39653730"/>
      <w:bookmarkStart w:id="10" w:name="_Toc39659561"/>
      <w:bookmarkStart w:id="11" w:name="_Toc40443089"/>
      <w:r w:rsidRPr="0031117E">
        <w:t>1.3</w:t>
      </w:r>
      <w:r w:rsidRPr="0031117E">
        <w:tab/>
        <w:t>PoC Project Scope</w:t>
      </w:r>
      <w:bookmarkEnd w:id="9"/>
      <w:bookmarkEnd w:id="10"/>
      <w:bookmarkEnd w:id="11"/>
    </w:p>
    <w:p w14:paraId="4353250C" w14:textId="77777777" w:rsidR="004C3466" w:rsidRPr="0031117E" w:rsidRDefault="004C3466" w:rsidP="004C3466">
      <w:pPr>
        <w:pStyle w:val="Heading3"/>
      </w:pPr>
      <w:bookmarkStart w:id="12" w:name="_Toc39653731"/>
      <w:bookmarkStart w:id="13" w:name="_Toc39659562"/>
      <w:bookmarkStart w:id="14" w:name="_Toc40443090"/>
      <w:r w:rsidRPr="0031117E">
        <w:t>1.3.1</w:t>
      </w:r>
      <w:r w:rsidRPr="0031117E">
        <w:tab/>
        <w:t>PoC Goals</w:t>
      </w:r>
      <w:bookmarkEnd w:id="12"/>
      <w:bookmarkEnd w:id="13"/>
      <w:bookmarkEnd w:id="14"/>
    </w:p>
    <w:p w14:paraId="67C11D7E" w14:textId="141986BB" w:rsidR="004C3466" w:rsidRDefault="00222B7B" w:rsidP="004C3466">
      <w:r>
        <w:t>The PoC will demonstrate:</w:t>
      </w:r>
    </w:p>
    <w:p w14:paraId="42A94744" w14:textId="77777777" w:rsidR="00760E01" w:rsidRDefault="00760E01" w:rsidP="00760E01">
      <w:pPr>
        <w:pStyle w:val="ListParagraph"/>
        <w:numPr>
          <w:ilvl w:val="0"/>
          <w:numId w:val="3"/>
        </w:numPr>
        <w:spacing w:after="120"/>
        <w:ind w:left="714" w:hanging="357"/>
        <w:contextualSpacing w:val="0"/>
      </w:pPr>
      <w:r w:rsidRPr="00760E01">
        <w:t>Validate Formulas: Demonstrate the practical application and accurate calculation of the Data Quality Metrics (e.g., Completeness, Accuracy, Uniqueness, etc.) and their specific verification formulas as specified in ETSI TR 104 180.</w:t>
      </w:r>
    </w:p>
    <w:p w14:paraId="497740E0" w14:textId="77777777" w:rsidR="00760E01" w:rsidRDefault="00760E01" w:rsidP="00760E01">
      <w:pPr>
        <w:pStyle w:val="ListParagraph"/>
        <w:numPr>
          <w:ilvl w:val="0"/>
          <w:numId w:val="3"/>
        </w:numPr>
        <w:spacing w:after="120"/>
        <w:ind w:left="714" w:hanging="357"/>
        <w:contextualSpacing w:val="0"/>
      </w:pPr>
      <w:r w:rsidRPr="00760E01">
        <w:t>Develop Open-Source Library: Create a reusable, modular, and open-source Python library that encapsulates the core validation logic, allowing community members to easily integrate data quality checks into their existing data pipelines.</w:t>
      </w:r>
    </w:p>
    <w:p w14:paraId="374B6505" w14:textId="73D8FAA6" w:rsidR="008C22CB" w:rsidRPr="008C22CB" w:rsidRDefault="00760E01" w:rsidP="008C22CB">
      <w:pPr>
        <w:pStyle w:val="ListParagraph"/>
        <w:numPr>
          <w:ilvl w:val="0"/>
          <w:numId w:val="3"/>
        </w:numPr>
        <w:spacing w:after="120"/>
        <w:ind w:left="714" w:hanging="357"/>
        <w:contextualSpacing w:val="0"/>
      </w:pPr>
      <w:r w:rsidRPr="00760E01">
        <w:t>Provide Visualization: Develop an intuitive, web-based Front-end UI/UX for visualizing the validation process, input data, and the final, quantified quality assessment results.</w:t>
      </w:r>
    </w:p>
    <w:p w14:paraId="76954655" w14:textId="77777777" w:rsidR="004C3466" w:rsidRPr="0031117E" w:rsidRDefault="004C3466" w:rsidP="004C3466">
      <w:pPr>
        <w:pStyle w:val="Heading3"/>
      </w:pPr>
      <w:bookmarkStart w:id="15" w:name="_Toc39653732"/>
      <w:bookmarkStart w:id="16" w:name="_Toc39659563"/>
      <w:bookmarkStart w:id="17" w:name="_Toc40443091"/>
      <w:r w:rsidRPr="0031117E">
        <w:lastRenderedPageBreak/>
        <w:t>1.3.2</w:t>
      </w:r>
      <w:r w:rsidRPr="0031117E">
        <w:tab/>
        <w:t>PoC Topics</w:t>
      </w:r>
      <w:bookmarkEnd w:id="15"/>
      <w:bookmarkEnd w:id="16"/>
      <w:bookmarkEnd w:id="17"/>
    </w:p>
    <w:p w14:paraId="57B829BB" w14:textId="21D1D068" w:rsidR="004C3466" w:rsidRPr="008C22CB" w:rsidRDefault="00760E01" w:rsidP="004C3466">
      <w:pPr>
        <w:rPr>
          <w:color w:val="0070C0"/>
        </w:rPr>
      </w:pPr>
      <w:r>
        <w:rPr>
          <w:rStyle w:val="selected"/>
        </w:rPr>
        <w:t xml:space="preserve">The PoC development will be structured around three main, interconnected components as defined in Table A.2. </w:t>
      </w:r>
    </w:p>
    <w:p w14:paraId="4F25D8B4" w14:textId="77777777" w:rsidR="004C3466" w:rsidRPr="0031117E" w:rsidRDefault="004C3466" w:rsidP="004C3466">
      <w:pPr>
        <w:pStyle w:val="TH"/>
      </w:pPr>
      <w:r w:rsidRPr="0031117E">
        <w:t>Table A.2</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11"/>
        <w:gridCol w:w="1985"/>
        <w:gridCol w:w="2977"/>
        <w:gridCol w:w="1383"/>
      </w:tblGrid>
      <w:tr w:rsidR="004C3466" w:rsidRPr="0031117E" w14:paraId="0CF07751" w14:textId="77777777">
        <w:trPr>
          <w:jc w:val="center"/>
        </w:trPr>
        <w:tc>
          <w:tcPr>
            <w:tcW w:w="2411" w:type="dxa"/>
            <w:shd w:val="clear" w:color="auto" w:fill="D9D9D9"/>
            <w:vAlign w:val="center"/>
          </w:tcPr>
          <w:p w14:paraId="79F74F33" w14:textId="77777777" w:rsidR="004C3466" w:rsidRPr="0031117E" w:rsidRDefault="004C3466">
            <w:pPr>
              <w:pStyle w:val="TAH"/>
            </w:pPr>
            <w:r w:rsidRPr="0031117E">
              <w:t>PoC Topic Description (see note)</w:t>
            </w:r>
          </w:p>
        </w:tc>
        <w:tc>
          <w:tcPr>
            <w:tcW w:w="1985" w:type="dxa"/>
            <w:shd w:val="clear" w:color="auto" w:fill="D9D9D9"/>
            <w:vAlign w:val="center"/>
          </w:tcPr>
          <w:p w14:paraId="1FA64141" w14:textId="77777777" w:rsidR="004C3466" w:rsidRPr="0031117E" w:rsidRDefault="004C3466">
            <w:pPr>
              <w:pStyle w:val="TAH"/>
            </w:pPr>
            <w:r w:rsidRPr="0031117E">
              <w:t>Related WI</w:t>
            </w:r>
          </w:p>
        </w:tc>
        <w:tc>
          <w:tcPr>
            <w:tcW w:w="2977" w:type="dxa"/>
            <w:shd w:val="clear" w:color="auto" w:fill="D9D9D9"/>
            <w:vAlign w:val="center"/>
          </w:tcPr>
          <w:p w14:paraId="4822197A" w14:textId="77777777" w:rsidR="004C3466" w:rsidRPr="0031117E" w:rsidRDefault="004C3466">
            <w:pPr>
              <w:pStyle w:val="TAH"/>
            </w:pPr>
            <w:r w:rsidRPr="0031117E">
              <w:t>Expected Contribution</w:t>
            </w:r>
          </w:p>
        </w:tc>
        <w:tc>
          <w:tcPr>
            <w:tcW w:w="1383" w:type="dxa"/>
            <w:shd w:val="clear" w:color="auto" w:fill="D9D9D9"/>
            <w:vAlign w:val="center"/>
          </w:tcPr>
          <w:p w14:paraId="5F38465E" w14:textId="77777777" w:rsidR="004C3466" w:rsidRPr="0031117E" w:rsidRDefault="004C3466">
            <w:pPr>
              <w:pStyle w:val="TAH"/>
            </w:pPr>
            <w:r w:rsidRPr="0031117E">
              <w:t>Target Date</w:t>
            </w:r>
          </w:p>
        </w:tc>
      </w:tr>
      <w:tr w:rsidR="004C3466" w:rsidRPr="0031117E" w14:paraId="150B01C7" w14:textId="77777777">
        <w:trPr>
          <w:jc w:val="center"/>
        </w:trPr>
        <w:tc>
          <w:tcPr>
            <w:tcW w:w="2411" w:type="dxa"/>
            <w:vAlign w:val="center"/>
          </w:tcPr>
          <w:p w14:paraId="001E18E0" w14:textId="0B278849" w:rsidR="004C3466" w:rsidRPr="00760E01" w:rsidRDefault="00760E01" w:rsidP="00760E01">
            <w:pPr>
              <w:spacing w:after="0"/>
              <w:rPr>
                <w:rFonts w:ascii="Arial" w:hAnsi="Arial" w:cs="Arial"/>
                <w:sz w:val="18"/>
                <w:szCs w:val="18"/>
              </w:rPr>
            </w:pPr>
            <w:r w:rsidRPr="00760E01">
              <w:rPr>
                <w:rFonts w:ascii="Arial" w:hAnsi="Arial" w:cs="Arial"/>
                <w:sz w:val="18"/>
                <w:szCs w:val="18"/>
              </w:rPr>
              <w:t>Data Quality Validation UI/UX (Front-end)</w:t>
            </w:r>
          </w:p>
        </w:tc>
        <w:tc>
          <w:tcPr>
            <w:tcW w:w="1985" w:type="dxa"/>
            <w:vAlign w:val="center"/>
          </w:tcPr>
          <w:p w14:paraId="1DACF091" w14:textId="656A6A5E" w:rsidR="004C3466" w:rsidRPr="0031117E" w:rsidRDefault="0006361A">
            <w:pPr>
              <w:pStyle w:val="TAL"/>
              <w:rPr>
                <w:lang w:eastAsia="ko-KR"/>
              </w:rPr>
            </w:pPr>
            <w:r w:rsidRPr="00222B7B">
              <w:rPr>
                <w:lang w:val="en-US" w:eastAsia="ko-KR"/>
              </w:rPr>
              <w:t>rel</w:t>
            </w:r>
            <w:r>
              <w:rPr>
                <w:lang w:val="en-US" w:eastAsia="ko-KR"/>
              </w:rPr>
              <w:t>a</w:t>
            </w:r>
            <w:r w:rsidRPr="00222B7B">
              <w:rPr>
                <w:lang w:val="en-US" w:eastAsia="ko-KR"/>
              </w:rPr>
              <w:t xml:space="preserve">ted to </w:t>
            </w:r>
            <w:r w:rsidR="00760E01" w:rsidRPr="00760E01">
              <w:t>ETSI TR 104 180 (Development and identification of Data Quality Metrics)</w:t>
            </w:r>
          </w:p>
        </w:tc>
        <w:tc>
          <w:tcPr>
            <w:tcW w:w="2977" w:type="dxa"/>
            <w:vAlign w:val="center"/>
          </w:tcPr>
          <w:p w14:paraId="40363A8B" w14:textId="6D6D62D6" w:rsidR="00760E01" w:rsidRPr="00760E01" w:rsidRDefault="00760E01" w:rsidP="00760E01">
            <w:pPr>
              <w:spacing w:after="120"/>
              <w:rPr>
                <w:rFonts w:ascii="Arial" w:hAnsi="Arial" w:cs="Arial"/>
                <w:sz w:val="18"/>
                <w:szCs w:val="18"/>
              </w:rPr>
            </w:pPr>
            <w:r w:rsidRPr="00760E01">
              <w:rPr>
                <w:rFonts w:ascii="Arial" w:hAnsi="Arial" w:cs="Arial"/>
                <w:sz w:val="18"/>
                <w:szCs w:val="18"/>
              </w:rPr>
              <w:t>A web-based interface providing a user experience for:</w:t>
            </w:r>
          </w:p>
          <w:p w14:paraId="61A072B8" w14:textId="17E4D118" w:rsidR="00760E01" w:rsidRPr="00760E01" w:rsidRDefault="00760E01" w:rsidP="00760E01">
            <w:pPr>
              <w:pStyle w:val="ListParagraph"/>
              <w:numPr>
                <w:ilvl w:val="0"/>
                <w:numId w:val="4"/>
              </w:numPr>
              <w:rPr>
                <w:rFonts w:ascii="Arial" w:hAnsi="Arial" w:cs="Arial"/>
                <w:sz w:val="18"/>
                <w:szCs w:val="18"/>
              </w:rPr>
            </w:pPr>
            <w:r w:rsidRPr="00760E01">
              <w:rPr>
                <w:rFonts w:ascii="Arial" w:hAnsi="Arial" w:cs="Arial"/>
                <w:sz w:val="18"/>
                <w:szCs w:val="18"/>
              </w:rPr>
              <w:t>Uploading or specifying the target dataset.</w:t>
            </w:r>
          </w:p>
          <w:p w14:paraId="635DE332" w14:textId="2179544C" w:rsidR="00760E01" w:rsidRPr="00760E01" w:rsidRDefault="00760E01" w:rsidP="00760E01">
            <w:pPr>
              <w:pStyle w:val="ListParagraph"/>
              <w:numPr>
                <w:ilvl w:val="0"/>
                <w:numId w:val="4"/>
              </w:numPr>
              <w:rPr>
                <w:rFonts w:ascii="Arial" w:hAnsi="Arial" w:cs="Arial"/>
                <w:sz w:val="18"/>
                <w:szCs w:val="18"/>
              </w:rPr>
            </w:pPr>
            <w:r w:rsidRPr="00760E01">
              <w:rPr>
                <w:rFonts w:ascii="Arial" w:hAnsi="Arial" w:cs="Arial"/>
                <w:sz w:val="18"/>
                <w:szCs w:val="18"/>
              </w:rPr>
              <w:t>Selecting which TR 104 180 metrics to apply.</w:t>
            </w:r>
          </w:p>
          <w:p w14:paraId="0E959E15" w14:textId="432E3D77" w:rsidR="004C3466" w:rsidRPr="00760E01" w:rsidRDefault="00760E01" w:rsidP="00760E01">
            <w:pPr>
              <w:pStyle w:val="ListParagraph"/>
              <w:numPr>
                <w:ilvl w:val="0"/>
                <w:numId w:val="4"/>
              </w:numPr>
              <w:rPr>
                <w:lang w:val="en-KR" w:eastAsia="ko-KR"/>
              </w:rPr>
            </w:pPr>
            <w:r w:rsidRPr="00760E01">
              <w:rPr>
                <w:rFonts w:ascii="Arial" w:hAnsi="Arial" w:cs="Arial"/>
                <w:sz w:val="18"/>
                <w:szCs w:val="18"/>
              </w:rPr>
              <w:t>Viewing the final data quality dashboard, including overall score, individual metric scores, and detailed reports on data points that failed validation.</w:t>
            </w:r>
          </w:p>
        </w:tc>
        <w:tc>
          <w:tcPr>
            <w:tcW w:w="1383" w:type="dxa"/>
            <w:vAlign w:val="center"/>
          </w:tcPr>
          <w:p w14:paraId="1CDE3E5C" w14:textId="7C05ECD4" w:rsidR="004C3466" w:rsidRPr="0031117E" w:rsidRDefault="006C0E27">
            <w:pPr>
              <w:pStyle w:val="TAL"/>
              <w:rPr>
                <w:lang w:eastAsia="ko-KR"/>
              </w:rPr>
            </w:pPr>
            <w:r>
              <w:rPr>
                <w:rFonts w:hint="eastAsia"/>
                <w:lang w:eastAsia="ko-KR"/>
              </w:rPr>
              <w:t>202</w:t>
            </w:r>
            <w:r w:rsidR="00760E01">
              <w:rPr>
                <w:lang w:eastAsia="ko-KR"/>
              </w:rPr>
              <w:t>6</w:t>
            </w:r>
            <w:r>
              <w:rPr>
                <w:rFonts w:hint="eastAsia"/>
                <w:lang w:eastAsia="ko-KR"/>
              </w:rPr>
              <w:t>-0</w:t>
            </w:r>
            <w:r w:rsidR="00760E01">
              <w:rPr>
                <w:lang w:eastAsia="ko-KR"/>
              </w:rPr>
              <w:t>3</w:t>
            </w:r>
          </w:p>
        </w:tc>
      </w:tr>
      <w:tr w:rsidR="006C0E27" w:rsidRPr="0031117E" w14:paraId="0F04A057" w14:textId="77777777">
        <w:trPr>
          <w:jc w:val="center"/>
        </w:trPr>
        <w:tc>
          <w:tcPr>
            <w:tcW w:w="2411" w:type="dxa"/>
            <w:vAlign w:val="center"/>
          </w:tcPr>
          <w:p w14:paraId="624FE52A" w14:textId="1AFCE79A" w:rsidR="006C0E27" w:rsidRPr="00760E01" w:rsidRDefault="00760E01" w:rsidP="00760E01">
            <w:pPr>
              <w:spacing w:after="0"/>
              <w:rPr>
                <w:rFonts w:ascii="Arial" w:hAnsi="Arial" w:cs="Arial"/>
                <w:sz w:val="18"/>
                <w:szCs w:val="18"/>
              </w:rPr>
            </w:pPr>
            <w:r w:rsidRPr="00760E01">
              <w:rPr>
                <w:rFonts w:ascii="Arial" w:hAnsi="Arial" w:cs="Arial"/>
                <w:sz w:val="18"/>
                <w:szCs w:val="18"/>
              </w:rPr>
              <w:t>Open-Source Python Validation Library (Backend/API)</w:t>
            </w:r>
          </w:p>
        </w:tc>
        <w:tc>
          <w:tcPr>
            <w:tcW w:w="1985" w:type="dxa"/>
            <w:vAlign w:val="center"/>
          </w:tcPr>
          <w:p w14:paraId="2E176D1A" w14:textId="5F9AE23C" w:rsidR="006C0E27" w:rsidRPr="0031117E" w:rsidRDefault="00760E01" w:rsidP="006C0E27">
            <w:pPr>
              <w:pStyle w:val="TAL"/>
              <w:rPr>
                <w:lang w:eastAsia="ko-KR"/>
              </w:rPr>
            </w:pPr>
            <w:r w:rsidRPr="00222B7B">
              <w:rPr>
                <w:lang w:val="en-US" w:eastAsia="ko-KR"/>
              </w:rPr>
              <w:t>rel</w:t>
            </w:r>
            <w:r>
              <w:rPr>
                <w:lang w:val="en-US" w:eastAsia="ko-KR"/>
              </w:rPr>
              <w:t>a</w:t>
            </w:r>
            <w:r w:rsidRPr="00222B7B">
              <w:rPr>
                <w:lang w:val="en-US" w:eastAsia="ko-KR"/>
              </w:rPr>
              <w:t xml:space="preserve">ted to </w:t>
            </w:r>
            <w:r w:rsidRPr="00760E01">
              <w:t>ETSI TR 104 180 (Development and identification of Data Quality Metrics)</w:t>
            </w:r>
          </w:p>
        </w:tc>
        <w:tc>
          <w:tcPr>
            <w:tcW w:w="2977" w:type="dxa"/>
            <w:vAlign w:val="center"/>
          </w:tcPr>
          <w:p w14:paraId="2E2859AB" w14:textId="77777777" w:rsidR="00760E01" w:rsidRPr="00760E01" w:rsidRDefault="00760E01" w:rsidP="00760E01">
            <w:pPr>
              <w:rPr>
                <w:rFonts w:ascii="Arial" w:hAnsi="Arial" w:cs="Arial"/>
                <w:sz w:val="18"/>
                <w:szCs w:val="18"/>
              </w:rPr>
            </w:pPr>
            <w:r w:rsidRPr="00760E01">
              <w:rPr>
                <w:rFonts w:ascii="Arial" w:hAnsi="Arial" w:cs="Arial"/>
                <w:sz w:val="18"/>
                <w:szCs w:val="18"/>
              </w:rPr>
              <w:t>The core logic engine, designed for maximum reusability. This library will:</w:t>
            </w:r>
          </w:p>
          <w:p w14:paraId="5D04C1D9" w14:textId="1646B8D8" w:rsidR="00760E01" w:rsidRPr="00760E01" w:rsidRDefault="00760E01" w:rsidP="00760E01">
            <w:pPr>
              <w:pStyle w:val="ListParagraph"/>
              <w:numPr>
                <w:ilvl w:val="0"/>
                <w:numId w:val="7"/>
              </w:numPr>
              <w:rPr>
                <w:rFonts w:ascii="Arial" w:hAnsi="Arial" w:cs="Arial"/>
                <w:sz w:val="18"/>
                <w:szCs w:val="18"/>
              </w:rPr>
            </w:pPr>
            <w:r w:rsidRPr="00760E01">
              <w:rPr>
                <w:rFonts w:ascii="Arial" w:hAnsi="Arial" w:cs="Arial"/>
                <w:sz w:val="18"/>
                <w:szCs w:val="18"/>
              </w:rPr>
              <w:t xml:space="preserve">Implement </w:t>
            </w:r>
            <w:r w:rsidR="0001477C">
              <w:rPr>
                <w:rFonts w:ascii="Arial" w:hAnsi="Arial" w:cs="Arial"/>
                <w:sz w:val="18"/>
                <w:szCs w:val="18"/>
              </w:rPr>
              <w:t xml:space="preserve">selected </w:t>
            </w:r>
            <w:r w:rsidRPr="00760E01">
              <w:rPr>
                <w:rFonts w:ascii="Arial" w:hAnsi="Arial" w:cs="Arial"/>
                <w:sz w:val="18"/>
                <w:szCs w:val="18"/>
              </w:rPr>
              <w:t>verification formulas from ETSI TR 104 180.</w:t>
            </w:r>
          </w:p>
          <w:p w14:paraId="1A8D7BAC" w14:textId="77777777" w:rsidR="00760E01" w:rsidRPr="00760E01" w:rsidRDefault="00760E01" w:rsidP="00760E01">
            <w:pPr>
              <w:pStyle w:val="ListParagraph"/>
              <w:numPr>
                <w:ilvl w:val="0"/>
                <w:numId w:val="7"/>
              </w:numPr>
              <w:rPr>
                <w:rFonts w:ascii="Arial" w:hAnsi="Arial" w:cs="Arial"/>
                <w:sz w:val="18"/>
                <w:szCs w:val="18"/>
              </w:rPr>
            </w:pPr>
            <w:r w:rsidRPr="00760E01">
              <w:rPr>
                <w:rFonts w:ascii="Arial" w:hAnsi="Arial" w:cs="Arial"/>
                <w:sz w:val="18"/>
                <w:szCs w:val="18"/>
              </w:rPr>
              <w:t>Handle data loading, transformation, and metric calculation.</w:t>
            </w:r>
          </w:p>
          <w:p w14:paraId="53C1470D" w14:textId="29D8D388" w:rsidR="006C0E27" w:rsidRPr="00760E01" w:rsidRDefault="00760E01" w:rsidP="00760E01">
            <w:pPr>
              <w:pStyle w:val="ListParagraph"/>
              <w:numPr>
                <w:ilvl w:val="0"/>
                <w:numId w:val="7"/>
              </w:numPr>
              <w:rPr>
                <w:lang w:val="en-KR"/>
              </w:rPr>
            </w:pPr>
            <w:r w:rsidRPr="00760E01">
              <w:rPr>
                <w:rFonts w:ascii="Arial" w:hAnsi="Arial" w:cs="Arial"/>
                <w:sz w:val="18"/>
                <w:szCs w:val="18"/>
              </w:rPr>
              <w:t xml:space="preserve">Provide a standardized API for the </w:t>
            </w:r>
            <w:r w:rsidR="0001477C">
              <w:rPr>
                <w:rFonts w:ascii="Arial" w:hAnsi="Arial" w:cs="Arial"/>
                <w:sz w:val="18"/>
                <w:szCs w:val="18"/>
              </w:rPr>
              <w:t>f</w:t>
            </w:r>
            <w:r w:rsidRPr="00760E01">
              <w:rPr>
                <w:rFonts w:ascii="Arial" w:hAnsi="Arial" w:cs="Arial"/>
                <w:sz w:val="18"/>
                <w:szCs w:val="18"/>
              </w:rPr>
              <w:t>ront-end to consume the results.</w:t>
            </w:r>
          </w:p>
        </w:tc>
        <w:tc>
          <w:tcPr>
            <w:tcW w:w="1383" w:type="dxa"/>
            <w:vAlign w:val="center"/>
          </w:tcPr>
          <w:p w14:paraId="38CF97F0" w14:textId="5EB6418B" w:rsidR="006C0E27" w:rsidRPr="001F1307" w:rsidRDefault="00760E01" w:rsidP="006C0E27">
            <w:pPr>
              <w:pStyle w:val="TAL"/>
              <w:rPr>
                <w:lang w:val="en-US" w:eastAsia="ko-KR"/>
              </w:rPr>
            </w:pPr>
            <w:r>
              <w:rPr>
                <w:rFonts w:hint="eastAsia"/>
                <w:lang w:eastAsia="ko-KR"/>
              </w:rPr>
              <w:t>202</w:t>
            </w:r>
            <w:r>
              <w:rPr>
                <w:lang w:eastAsia="ko-KR"/>
              </w:rPr>
              <w:t>6</w:t>
            </w:r>
            <w:r>
              <w:rPr>
                <w:rFonts w:hint="eastAsia"/>
                <w:lang w:eastAsia="ko-KR"/>
              </w:rPr>
              <w:t>-0</w:t>
            </w:r>
            <w:r>
              <w:rPr>
                <w:lang w:eastAsia="ko-KR"/>
              </w:rPr>
              <w:t>2</w:t>
            </w:r>
          </w:p>
        </w:tc>
      </w:tr>
      <w:tr w:rsidR="000C42F9" w:rsidRPr="0031117E" w14:paraId="26C9E022" w14:textId="77777777">
        <w:trPr>
          <w:jc w:val="center"/>
        </w:trPr>
        <w:tc>
          <w:tcPr>
            <w:tcW w:w="2411" w:type="dxa"/>
            <w:vAlign w:val="center"/>
          </w:tcPr>
          <w:p w14:paraId="2E18B9D4" w14:textId="219E9413" w:rsidR="000C42F9" w:rsidRPr="00760E01" w:rsidRDefault="00760E01" w:rsidP="00760E01">
            <w:pPr>
              <w:spacing w:after="0"/>
              <w:rPr>
                <w:rFonts w:ascii="Arial" w:hAnsi="Arial" w:cs="Arial"/>
                <w:sz w:val="18"/>
                <w:szCs w:val="18"/>
              </w:rPr>
            </w:pPr>
            <w:r w:rsidRPr="00760E01">
              <w:rPr>
                <w:rFonts w:ascii="Arial" w:hAnsi="Arial" w:cs="Arial"/>
                <w:sz w:val="18"/>
                <w:szCs w:val="18"/>
              </w:rPr>
              <w:t>Test Datasets and Scenarios</w:t>
            </w:r>
          </w:p>
        </w:tc>
        <w:tc>
          <w:tcPr>
            <w:tcW w:w="1985" w:type="dxa"/>
            <w:vAlign w:val="center"/>
          </w:tcPr>
          <w:p w14:paraId="059DBFA1" w14:textId="379C0A14" w:rsidR="000C42F9" w:rsidRPr="0006361A" w:rsidRDefault="00760E01" w:rsidP="000C42F9">
            <w:pPr>
              <w:pStyle w:val="TAL"/>
              <w:rPr>
                <w:lang w:val="en-US" w:eastAsia="ko-KR"/>
              </w:rPr>
            </w:pPr>
            <w:r w:rsidRPr="00222B7B">
              <w:rPr>
                <w:lang w:val="en-US" w:eastAsia="ko-KR"/>
              </w:rPr>
              <w:t>rel</w:t>
            </w:r>
            <w:r>
              <w:rPr>
                <w:lang w:val="en-US" w:eastAsia="ko-KR"/>
              </w:rPr>
              <w:t>a</w:t>
            </w:r>
            <w:r w:rsidRPr="00222B7B">
              <w:rPr>
                <w:lang w:val="en-US" w:eastAsia="ko-KR"/>
              </w:rPr>
              <w:t xml:space="preserve">ted to </w:t>
            </w:r>
            <w:r w:rsidRPr="00760E01">
              <w:t>ETSI TR 104 180 (Development and identification of Data Quality Metrics).</w:t>
            </w:r>
          </w:p>
        </w:tc>
        <w:tc>
          <w:tcPr>
            <w:tcW w:w="2977" w:type="dxa"/>
            <w:vAlign w:val="center"/>
          </w:tcPr>
          <w:p w14:paraId="5607525D" w14:textId="77777777" w:rsidR="0001477C" w:rsidRPr="0001477C" w:rsidRDefault="0001477C" w:rsidP="0001477C">
            <w:pPr>
              <w:rPr>
                <w:rFonts w:ascii="Arial" w:hAnsi="Arial" w:cs="Arial"/>
                <w:sz w:val="18"/>
                <w:szCs w:val="18"/>
              </w:rPr>
            </w:pPr>
            <w:r w:rsidRPr="0001477C">
              <w:rPr>
                <w:rFonts w:ascii="Arial" w:hAnsi="Arial" w:cs="Arial"/>
                <w:sz w:val="18"/>
                <w:szCs w:val="18"/>
              </w:rPr>
              <w:t>A set of deliberately designed test datasets will be created to:</w:t>
            </w:r>
          </w:p>
          <w:p w14:paraId="71EF9FD6" w14:textId="6F05D0A5" w:rsidR="0001477C" w:rsidRPr="0001477C" w:rsidRDefault="0001477C" w:rsidP="0001477C">
            <w:pPr>
              <w:pStyle w:val="ListParagraph"/>
              <w:numPr>
                <w:ilvl w:val="0"/>
                <w:numId w:val="9"/>
              </w:numPr>
              <w:rPr>
                <w:rFonts w:ascii="Arial" w:hAnsi="Arial" w:cs="Arial"/>
                <w:sz w:val="18"/>
                <w:szCs w:val="18"/>
              </w:rPr>
            </w:pPr>
            <w:r w:rsidRPr="0001477C">
              <w:rPr>
                <w:rFonts w:ascii="Arial" w:hAnsi="Arial" w:cs="Arial"/>
                <w:sz w:val="18"/>
                <w:szCs w:val="18"/>
              </w:rPr>
              <w:t xml:space="preserve">Proofing: Ensure </w:t>
            </w:r>
            <w:r>
              <w:rPr>
                <w:rFonts w:ascii="Arial" w:hAnsi="Arial" w:cs="Arial"/>
                <w:sz w:val="18"/>
                <w:szCs w:val="18"/>
              </w:rPr>
              <w:t>selected</w:t>
            </w:r>
            <w:r w:rsidRPr="0001477C">
              <w:rPr>
                <w:rFonts w:ascii="Arial" w:hAnsi="Arial" w:cs="Arial"/>
                <w:sz w:val="18"/>
                <w:szCs w:val="18"/>
              </w:rPr>
              <w:t xml:space="preserve"> quality metrics (e.g., Completeness, Precision, Consistency) are thoroughly tested.</w:t>
            </w:r>
          </w:p>
          <w:p w14:paraId="0FCD2D27" w14:textId="3D08454C" w:rsidR="000C42F9" w:rsidRPr="0001477C" w:rsidRDefault="0001477C" w:rsidP="0001477C">
            <w:pPr>
              <w:pStyle w:val="ListParagraph"/>
              <w:numPr>
                <w:ilvl w:val="0"/>
                <w:numId w:val="9"/>
              </w:numPr>
              <w:rPr>
                <w:lang w:val="en-KR"/>
              </w:rPr>
            </w:pPr>
            <w:r w:rsidRPr="0001477C">
              <w:rPr>
                <w:rFonts w:ascii="Arial" w:hAnsi="Arial" w:cs="Arial"/>
                <w:sz w:val="18"/>
                <w:szCs w:val="18"/>
              </w:rPr>
              <w:t>Demonstration: Provide clear, immediate feedback in the UI to demonstrate both high-quality and low-quality data scenarios.</w:t>
            </w:r>
          </w:p>
        </w:tc>
        <w:tc>
          <w:tcPr>
            <w:tcW w:w="1383" w:type="dxa"/>
            <w:vAlign w:val="center"/>
          </w:tcPr>
          <w:p w14:paraId="4D49E458" w14:textId="6C3066CE" w:rsidR="000C42F9" w:rsidRDefault="00760E01" w:rsidP="000C42F9">
            <w:pPr>
              <w:pStyle w:val="TAL"/>
              <w:rPr>
                <w:lang w:eastAsia="ko-KR"/>
              </w:rPr>
            </w:pPr>
            <w:r>
              <w:rPr>
                <w:rFonts w:hint="eastAsia"/>
                <w:lang w:eastAsia="ko-KR"/>
              </w:rPr>
              <w:t>202</w:t>
            </w:r>
            <w:r>
              <w:rPr>
                <w:lang w:eastAsia="ko-KR"/>
              </w:rPr>
              <w:t>6</w:t>
            </w:r>
            <w:r>
              <w:rPr>
                <w:rFonts w:hint="eastAsia"/>
                <w:lang w:eastAsia="ko-KR"/>
              </w:rPr>
              <w:t>-0</w:t>
            </w:r>
            <w:r>
              <w:rPr>
                <w:lang w:eastAsia="ko-KR"/>
              </w:rPr>
              <w:t>2</w:t>
            </w:r>
          </w:p>
        </w:tc>
      </w:tr>
      <w:tr w:rsidR="000C42F9" w:rsidRPr="0031117E" w14:paraId="6B453F0E" w14:textId="77777777">
        <w:trPr>
          <w:jc w:val="center"/>
        </w:trPr>
        <w:tc>
          <w:tcPr>
            <w:tcW w:w="8756" w:type="dxa"/>
            <w:gridSpan w:val="4"/>
            <w:vAlign w:val="center"/>
          </w:tcPr>
          <w:p w14:paraId="0F3B269E" w14:textId="77777777" w:rsidR="000C42F9" w:rsidRPr="0031117E" w:rsidRDefault="000C42F9" w:rsidP="000C42F9">
            <w:pPr>
              <w:pStyle w:val="TAN"/>
              <w:rPr>
                <w:iCs/>
              </w:rPr>
            </w:pPr>
            <w:r w:rsidRPr="0031117E">
              <w:rPr>
                <w:iCs/>
              </w:rPr>
              <w:t>NOTE:</w:t>
            </w:r>
            <w:r w:rsidRPr="0031117E">
              <w:rPr>
                <w:iCs/>
              </w:rPr>
              <w:tab/>
            </w:r>
            <w:r w:rsidRPr="0031117E">
              <w:t>This column should be filled according to the contents of table 1.</w:t>
            </w:r>
          </w:p>
        </w:tc>
      </w:tr>
    </w:tbl>
    <w:p w14:paraId="5A90FD1C" w14:textId="77777777" w:rsidR="004C3466" w:rsidRPr="0031117E" w:rsidRDefault="004C3466" w:rsidP="004C3466">
      <w:bookmarkStart w:id="18" w:name="_Toc39653733"/>
    </w:p>
    <w:p w14:paraId="074B1323" w14:textId="77777777" w:rsidR="004C3466" w:rsidRPr="0031117E" w:rsidRDefault="004C3466" w:rsidP="004C3466">
      <w:pPr>
        <w:pStyle w:val="Heading3"/>
      </w:pPr>
      <w:bookmarkStart w:id="19" w:name="_Toc39659564"/>
      <w:bookmarkStart w:id="20" w:name="_Toc40443092"/>
      <w:r w:rsidRPr="0031117E">
        <w:t>1.3.3</w:t>
      </w:r>
      <w:r w:rsidRPr="0031117E">
        <w:tab/>
        <w:t>Other topics in scope</w:t>
      </w:r>
      <w:bookmarkEnd w:id="18"/>
      <w:bookmarkEnd w:id="19"/>
      <w:bookmarkEnd w:id="20"/>
    </w:p>
    <w:p w14:paraId="6629D1C5" w14:textId="3FAE9D09" w:rsidR="004C3466" w:rsidRPr="0031117E" w:rsidRDefault="008C22CB" w:rsidP="004C3466">
      <w:r w:rsidRPr="004F6570">
        <w:t>List here any additional topic for which the PoC plans to provide input/feedback to TC DATA.</w:t>
      </w:r>
    </w:p>
    <w:p w14:paraId="6D616B46" w14:textId="77777777" w:rsidR="004C3466" w:rsidRPr="0031117E" w:rsidRDefault="004C3466" w:rsidP="004C3466">
      <w:pPr>
        <w:pStyle w:val="TH"/>
      </w:pPr>
      <w:r w:rsidRPr="0031117E">
        <w:t>Table A.3</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11"/>
        <w:gridCol w:w="1985"/>
        <w:gridCol w:w="2977"/>
        <w:gridCol w:w="1383"/>
      </w:tblGrid>
      <w:tr w:rsidR="004C3466" w:rsidRPr="0031117E" w14:paraId="6FCFBEBD" w14:textId="77777777">
        <w:trPr>
          <w:jc w:val="center"/>
        </w:trPr>
        <w:tc>
          <w:tcPr>
            <w:tcW w:w="2411" w:type="dxa"/>
            <w:shd w:val="clear" w:color="auto" w:fill="D9D9D9"/>
            <w:vAlign w:val="center"/>
          </w:tcPr>
          <w:p w14:paraId="4D5D4E2C" w14:textId="77777777" w:rsidR="004C3466" w:rsidRPr="0031117E" w:rsidRDefault="004C3466">
            <w:pPr>
              <w:pStyle w:val="TAH"/>
            </w:pPr>
            <w:r w:rsidRPr="0031117E">
              <w:t>PoC Topic Description</w:t>
            </w:r>
          </w:p>
        </w:tc>
        <w:tc>
          <w:tcPr>
            <w:tcW w:w="1985" w:type="dxa"/>
            <w:shd w:val="clear" w:color="auto" w:fill="D9D9D9"/>
            <w:vAlign w:val="center"/>
          </w:tcPr>
          <w:p w14:paraId="0F8CBD7D" w14:textId="77777777" w:rsidR="004C3466" w:rsidRPr="0031117E" w:rsidRDefault="004C3466">
            <w:pPr>
              <w:pStyle w:val="TAH"/>
            </w:pPr>
            <w:r w:rsidRPr="0031117E">
              <w:t>Related WI</w:t>
            </w:r>
          </w:p>
        </w:tc>
        <w:tc>
          <w:tcPr>
            <w:tcW w:w="2977" w:type="dxa"/>
            <w:shd w:val="clear" w:color="auto" w:fill="D9D9D9"/>
            <w:vAlign w:val="center"/>
          </w:tcPr>
          <w:p w14:paraId="254E0D2C" w14:textId="77777777" w:rsidR="004C3466" w:rsidRPr="0031117E" w:rsidRDefault="004C3466">
            <w:pPr>
              <w:pStyle w:val="TAH"/>
            </w:pPr>
            <w:r w:rsidRPr="0031117E">
              <w:t>Expected Contribution</w:t>
            </w:r>
          </w:p>
        </w:tc>
        <w:tc>
          <w:tcPr>
            <w:tcW w:w="1383" w:type="dxa"/>
            <w:shd w:val="clear" w:color="auto" w:fill="D9D9D9"/>
            <w:vAlign w:val="center"/>
          </w:tcPr>
          <w:p w14:paraId="3E5C23A1" w14:textId="77777777" w:rsidR="004C3466" w:rsidRPr="0031117E" w:rsidRDefault="004C3466">
            <w:pPr>
              <w:pStyle w:val="TAH"/>
            </w:pPr>
            <w:r w:rsidRPr="0031117E">
              <w:t>Target Date</w:t>
            </w:r>
          </w:p>
        </w:tc>
      </w:tr>
      <w:tr w:rsidR="004C3466" w:rsidRPr="0031117E" w14:paraId="64C1FF3A" w14:textId="77777777">
        <w:trPr>
          <w:jc w:val="center"/>
        </w:trPr>
        <w:tc>
          <w:tcPr>
            <w:tcW w:w="2411" w:type="dxa"/>
            <w:vAlign w:val="center"/>
          </w:tcPr>
          <w:p w14:paraId="0FD53E0B" w14:textId="20512ABE" w:rsidR="004C3466" w:rsidRPr="001F1307" w:rsidRDefault="004C3466">
            <w:pPr>
              <w:pStyle w:val="TAL"/>
              <w:rPr>
                <w:lang w:val="en-US" w:eastAsia="ko-KR"/>
              </w:rPr>
            </w:pPr>
          </w:p>
        </w:tc>
        <w:tc>
          <w:tcPr>
            <w:tcW w:w="1985" w:type="dxa"/>
            <w:vAlign w:val="center"/>
          </w:tcPr>
          <w:p w14:paraId="02B9D656" w14:textId="64E170F8" w:rsidR="004C3466" w:rsidRPr="0031117E" w:rsidRDefault="004C3466">
            <w:pPr>
              <w:pStyle w:val="TAL"/>
            </w:pPr>
          </w:p>
        </w:tc>
        <w:tc>
          <w:tcPr>
            <w:tcW w:w="2977" w:type="dxa"/>
            <w:vAlign w:val="center"/>
          </w:tcPr>
          <w:p w14:paraId="2E604668" w14:textId="37B7D1E8" w:rsidR="004C3466" w:rsidRPr="001F1307" w:rsidRDefault="004C3466">
            <w:pPr>
              <w:pStyle w:val="TAL"/>
              <w:rPr>
                <w:lang w:val="en-US" w:eastAsia="ko-KR"/>
              </w:rPr>
            </w:pPr>
          </w:p>
        </w:tc>
        <w:tc>
          <w:tcPr>
            <w:tcW w:w="1383" w:type="dxa"/>
            <w:vAlign w:val="center"/>
          </w:tcPr>
          <w:p w14:paraId="3E79E138" w14:textId="21FC75C5" w:rsidR="004C3466" w:rsidRPr="001F1307" w:rsidRDefault="004C3466">
            <w:pPr>
              <w:pStyle w:val="TAL"/>
              <w:rPr>
                <w:lang w:val="en-US" w:eastAsia="ko-KR"/>
              </w:rPr>
            </w:pPr>
          </w:p>
        </w:tc>
      </w:tr>
    </w:tbl>
    <w:p w14:paraId="41F95908" w14:textId="77777777" w:rsidR="004C3466" w:rsidRPr="0031117E" w:rsidRDefault="004C3466" w:rsidP="004C3466"/>
    <w:p w14:paraId="15D966C5" w14:textId="77777777" w:rsidR="004C3466" w:rsidRPr="0031117E" w:rsidRDefault="004C3466" w:rsidP="004C3466">
      <w:pPr>
        <w:pStyle w:val="Heading2"/>
      </w:pPr>
      <w:bookmarkStart w:id="21" w:name="_Toc39653734"/>
      <w:bookmarkStart w:id="22" w:name="_Toc39659565"/>
      <w:bookmarkStart w:id="23" w:name="_Toc40443093"/>
      <w:r w:rsidRPr="0031117E">
        <w:lastRenderedPageBreak/>
        <w:t>1.4</w:t>
      </w:r>
      <w:r w:rsidRPr="0031117E">
        <w:tab/>
        <w:t>PoC Project Stages/Milestones</w:t>
      </w:r>
      <w:bookmarkEnd w:id="21"/>
      <w:bookmarkEnd w:id="22"/>
      <w:bookmarkEnd w:id="23"/>
    </w:p>
    <w:p w14:paraId="50484565" w14:textId="77777777" w:rsidR="004C3466" w:rsidRPr="0031117E" w:rsidRDefault="004C3466" w:rsidP="004C3466">
      <w:pPr>
        <w:pStyle w:val="TH"/>
      </w:pPr>
      <w:r w:rsidRPr="0031117E">
        <w:t>Table A.4</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96"/>
        <w:gridCol w:w="3514"/>
        <w:gridCol w:w="957"/>
        <w:gridCol w:w="3484"/>
      </w:tblGrid>
      <w:tr w:rsidR="004C3466" w:rsidRPr="0031117E" w14:paraId="0E6B5803" w14:textId="77777777">
        <w:trPr>
          <w:jc w:val="center"/>
        </w:trPr>
        <w:tc>
          <w:tcPr>
            <w:tcW w:w="1396" w:type="dxa"/>
            <w:shd w:val="clear" w:color="auto" w:fill="D9D9D9"/>
            <w:vAlign w:val="center"/>
          </w:tcPr>
          <w:p w14:paraId="7F9B0582" w14:textId="77777777" w:rsidR="004C3466" w:rsidRPr="0031117E" w:rsidRDefault="004C3466">
            <w:pPr>
              <w:pStyle w:val="TAH"/>
            </w:pPr>
            <w:r w:rsidRPr="0031117E">
              <w:t>PoC Milestone</w:t>
            </w:r>
          </w:p>
        </w:tc>
        <w:tc>
          <w:tcPr>
            <w:tcW w:w="3514" w:type="dxa"/>
            <w:shd w:val="clear" w:color="auto" w:fill="D9D9D9"/>
            <w:vAlign w:val="center"/>
          </w:tcPr>
          <w:p w14:paraId="792F59EA" w14:textId="77777777" w:rsidR="004C3466" w:rsidRPr="0031117E" w:rsidRDefault="004C3466">
            <w:pPr>
              <w:pStyle w:val="TAH"/>
            </w:pPr>
            <w:r w:rsidRPr="0031117E">
              <w:t>Stages/Milestone description</w:t>
            </w:r>
          </w:p>
        </w:tc>
        <w:tc>
          <w:tcPr>
            <w:tcW w:w="957" w:type="dxa"/>
            <w:shd w:val="clear" w:color="auto" w:fill="D9D9D9"/>
            <w:vAlign w:val="center"/>
          </w:tcPr>
          <w:p w14:paraId="2899526E" w14:textId="77777777" w:rsidR="004C3466" w:rsidRPr="0031117E" w:rsidRDefault="004C3466">
            <w:pPr>
              <w:pStyle w:val="TAH"/>
            </w:pPr>
            <w:r w:rsidRPr="0031117E">
              <w:t>Target Date</w:t>
            </w:r>
          </w:p>
        </w:tc>
        <w:tc>
          <w:tcPr>
            <w:tcW w:w="3484" w:type="dxa"/>
            <w:shd w:val="clear" w:color="auto" w:fill="D9D9D9"/>
            <w:vAlign w:val="center"/>
          </w:tcPr>
          <w:p w14:paraId="1CFC1982" w14:textId="77777777" w:rsidR="004C3466" w:rsidRPr="0031117E" w:rsidRDefault="004C3466">
            <w:pPr>
              <w:pStyle w:val="TAH"/>
            </w:pPr>
            <w:r w:rsidRPr="0031117E">
              <w:t>Additional Info</w:t>
            </w:r>
          </w:p>
        </w:tc>
      </w:tr>
      <w:tr w:rsidR="004C3466" w:rsidRPr="0031117E" w14:paraId="58FAA64A" w14:textId="77777777">
        <w:trPr>
          <w:jc w:val="center"/>
        </w:trPr>
        <w:tc>
          <w:tcPr>
            <w:tcW w:w="1396" w:type="dxa"/>
            <w:vAlign w:val="center"/>
          </w:tcPr>
          <w:p w14:paraId="471C1F04" w14:textId="77777777" w:rsidR="004C3466" w:rsidRPr="0031117E" w:rsidRDefault="004C3466">
            <w:pPr>
              <w:pStyle w:val="TAL"/>
            </w:pPr>
            <w:proofErr w:type="gramStart"/>
            <w:r w:rsidRPr="0031117E">
              <w:t>P.S</w:t>
            </w:r>
            <w:proofErr w:type="gramEnd"/>
          </w:p>
        </w:tc>
        <w:tc>
          <w:tcPr>
            <w:tcW w:w="3514" w:type="dxa"/>
            <w:vAlign w:val="center"/>
          </w:tcPr>
          <w:p w14:paraId="1CDEB193" w14:textId="77777777" w:rsidR="004C3466" w:rsidRPr="0031117E" w:rsidRDefault="004C3466">
            <w:pPr>
              <w:pStyle w:val="TAL"/>
            </w:pPr>
            <w:r w:rsidRPr="0031117E">
              <w:t>PoC Project Start</w:t>
            </w:r>
          </w:p>
        </w:tc>
        <w:tc>
          <w:tcPr>
            <w:tcW w:w="957" w:type="dxa"/>
            <w:vAlign w:val="center"/>
          </w:tcPr>
          <w:p w14:paraId="264F1511" w14:textId="31A3A5EE" w:rsidR="004C3466" w:rsidRPr="0031117E" w:rsidRDefault="001F1307">
            <w:pPr>
              <w:pStyle w:val="TAL"/>
              <w:rPr>
                <w:lang w:eastAsia="ko-KR"/>
              </w:rPr>
            </w:pPr>
            <w:r>
              <w:rPr>
                <w:rFonts w:hint="eastAsia"/>
                <w:lang w:eastAsia="ko-KR"/>
              </w:rPr>
              <w:t>202</w:t>
            </w:r>
            <w:r w:rsidR="0001477C">
              <w:rPr>
                <w:lang w:eastAsia="ko-KR"/>
              </w:rPr>
              <w:t>5</w:t>
            </w:r>
            <w:r>
              <w:rPr>
                <w:rFonts w:hint="eastAsia"/>
                <w:lang w:eastAsia="ko-KR"/>
              </w:rPr>
              <w:t>-</w:t>
            </w:r>
            <w:r w:rsidR="0001477C">
              <w:rPr>
                <w:lang w:eastAsia="ko-KR"/>
              </w:rPr>
              <w:t>10</w:t>
            </w:r>
          </w:p>
        </w:tc>
        <w:tc>
          <w:tcPr>
            <w:tcW w:w="3484" w:type="dxa"/>
            <w:vAlign w:val="center"/>
          </w:tcPr>
          <w:p w14:paraId="42E7FDA6" w14:textId="77777777" w:rsidR="004C3466" w:rsidRPr="0031117E" w:rsidRDefault="004C3466">
            <w:pPr>
              <w:pStyle w:val="TAL"/>
            </w:pPr>
          </w:p>
        </w:tc>
      </w:tr>
      <w:tr w:rsidR="004C3466" w:rsidRPr="0031117E" w14:paraId="76212453" w14:textId="77777777">
        <w:trPr>
          <w:jc w:val="center"/>
        </w:trPr>
        <w:tc>
          <w:tcPr>
            <w:tcW w:w="1396" w:type="dxa"/>
            <w:vAlign w:val="center"/>
          </w:tcPr>
          <w:p w14:paraId="22CA4EAF" w14:textId="31F5C85B" w:rsidR="004C3466" w:rsidRPr="0031117E" w:rsidRDefault="004C3466">
            <w:pPr>
              <w:pStyle w:val="TAL"/>
            </w:pPr>
            <w:proofErr w:type="gramStart"/>
            <w:r w:rsidRPr="0031117E">
              <w:t>P.D</w:t>
            </w:r>
            <w:proofErr w:type="gramEnd"/>
            <w:r w:rsidR="00C62F7B">
              <w:t>1</w:t>
            </w:r>
          </w:p>
        </w:tc>
        <w:tc>
          <w:tcPr>
            <w:tcW w:w="3514" w:type="dxa"/>
            <w:vAlign w:val="center"/>
          </w:tcPr>
          <w:p w14:paraId="46395555" w14:textId="47E26E26" w:rsidR="004C3466" w:rsidRPr="00725789" w:rsidRDefault="004C3466">
            <w:pPr>
              <w:pStyle w:val="TAL"/>
              <w:rPr>
                <w:lang w:val="en-US" w:eastAsia="ko-KR"/>
              </w:rPr>
            </w:pPr>
            <w:r w:rsidRPr="0031117E">
              <w:t>PoC Demo</w:t>
            </w:r>
            <w:r w:rsidR="00C62F7B">
              <w:t xml:space="preserve"> 1</w:t>
            </w:r>
            <w:r w:rsidR="000C42F9">
              <w:t xml:space="preserve"> </w:t>
            </w:r>
          </w:p>
        </w:tc>
        <w:tc>
          <w:tcPr>
            <w:tcW w:w="957" w:type="dxa"/>
            <w:vAlign w:val="center"/>
          </w:tcPr>
          <w:p w14:paraId="208B7BD7" w14:textId="145BACA3" w:rsidR="004C3466" w:rsidRPr="0031117E" w:rsidRDefault="00725789">
            <w:pPr>
              <w:pStyle w:val="TAL"/>
            </w:pPr>
            <w:r>
              <w:t>202</w:t>
            </w:r>
            <w:r w:rsidR="0001477C">
              <w:t>6</w:t>
            </w:r>
            <w:r>
              <w:t>-0</w:t>
            </w:r>
            <w:r w:rsidR="0001477C">
              <w:t>1</w:t>
            </w:r>
          </w:p>
        </w:tc>
        <w:tc>
          <w:tcPr>
            <w:tcW w:w="3484" w:type="dxa"/>
            <w:vAlign w:val="center"/>
          </w:tcPr>
          <w:p w14:paraId="221AB868" w14:textId="08B116F2" w:rsidR="00AF526F" w:rsidRPr="0031117E" w:rsidRDefault="0001477C">
            <w:pPr>
              <w:pStyle w:val="TAL"/>
            </w:pPr>
            <w:r>
              <w:t>At one of rapporteur calls</w:t>
            </w:r>
          </w:p>
        </w:tc>
      </w:tr>
      <w:tr w:rsidR="000C42F9" w:rsidRPr="0031117E" w14:paraId="175F717C" w14:textId="77777777">
        <w:trPr>
          <w:jc w:val="center"/>
        </w:trPr>
        <w:tc>
          <w:tcPr>
            <w:tcW w:w="1396" w:type="dxa"/>
            <w:vAlign w:val="center"/>
          </w:tcPr>
          <w:p w14:paraId="4B73FCAE" w14:textId="5C877F94" w:rsidR="000C42F9" w:rsidRPr="0031117E" w:rsidRDefault="000C42F9" w:rsidP="000C42F9">
            <w:pPr>
              <w:pStyle w:val="TAL"/>
            </w:pPr>
            <w:proofErr w:type="gramStart"/>
            <w:r w:rsidRPr="0031117E">
              <w:t>P.D</w:t>
            </w:r>
            <w:proofErr w:type="gramEnd"/>
            <w:r>
              <w:t>2</w:t>
            </w:r>
          </w:p>
        </w:tc>
        <w:tc>
          <w:tcPr>
            <w:tcW w:w="3514" w:type="dxa"/>
            <w:vAlign w:val="center"/>
          </w:tcPr>
          <w:p w14:paraId="3BB17F32" w14:textId="5E657D55" w:rsidR="000C42F9" w:rsidRPr="0031117E" w:rsidRDefault="000C42F9" w:rsidP="000C42F9">
            <w:pPr>
              <w:pStyle w:val="TAL"/>
            </w:pPr>
            <w:r w:rsidRPr="0031117E">
              <w:t>PoC Demo</w:t>
            </w:r>
            <w:r>
              <w:t xml:space="preserve"> 2 </w:t>
            </w:r>
          </w:p>
        </w:tc>
        <w:tc>
          <w:tcPr>
            <w:tcW w:w="957" w:type="dxa"/>
            <w:vAlign w:val="center"/>
          </w:tcPr>
          <w:p w14:paraId="23696ECB" w14:textId="7BA3C5EF" w:rsidR="000C42F9" w:rsidRDefault="000C42F9" w:rsidP="000C42F9">
            <w:pPr>
              <w:pStyle w:val="TAL"/>
            </w:pPr>
            <w:r>
              <w:t>202</w:t>
            </w:r>
            <w:r w:rsidR="0001477C">
              <w:t>6</w:t>
            </w:r>
            <w:r>
              <w:t>-</w:t>
            </w:r>
            <w:r w:rsidR="0001477C">
              <w:t>02</w:t>
            </w:r>
          </w:p>
        </w:tc>
        <w:tc>
          <w:tcPr>
            <w:tcW w:w="3484" w:type="dxa"/>
            <w:vAlign w:val="center"/>
          </w:tcPr>
          <w:p w14:paraId="1ECC1C1E" w14:textId="23CE1689" w:rsidR="000C42F9" w:rsidRDefault="0001477C" w:rsidP="000C42F9">
            <w:pPr>
              <w:pStyle w:val="TAL"/>
            </w:pPr>
            <w:r>
              <w:t>TC Data #4</w:t>
            </w:r>
          </w:p>
        </w:tc>
      </w:tr>
      <w:tr w:rsidR="000C42F9" w:rsidRPr="0031117E" w14:paraId="7543A85C" w14:textId="77777777">
        <w:trPr>
          <w:jc w:val="center"/>
        </w:trPr>
        <w:tc>
          <w:tcPr>
            <w:tcW w:w="1396" w:type="dxa"/>
            <w:vAlign w:val="center"/>
          </w:tcPr>
          <w:p w14:paraId="707B8D58" w14:textId="5951786D" w:rsidR="000C42F9" w:rsidRPr="0031117E" w:rsidRDefault="000C42F9" w:rsidP="000C42F9">
            <w:pPr>
              <w:pStyle w:val="TAL"/>
            </w:pPr>
            <w:r w:rsidRPr="0031117E">
              <w:t>P.C1</w:t>
            </w:r>
          </w:p>
        </w:tc>
        <w:tc>
          <w:tcPr>
            <w:tcW w:w="3514" w:type="dxa"/>
            <w:vAlign w:val="center"/>
          </w:tcPr>
          <w:p w14:paraId="4EEA5949" w14:textId="07E4D88D" w:rsidR="000C42F9" w:rsidRPr="0031117E" w:rsidRDefault="000C42F9" w:rsidP="000C42F9">
            <w:pPr>
              <w:pStyle w:val="TAL"/>
            </w:pPr>
            <w:r w:rsidRPr="0031117E">
              <w:t>PoC Expected Contribution</w:t>
            </w:r>
            <w:r w:rsidR="0001477C">
              <w:t xml:space="preserve"> 1</w:t>
            </w:r>
          </w:p>
        </w:tc>
        <w:tc>
          <w:tcPr>
            <w:tcW w:w="957" w:type="dxa"/>
            <w:vAlign w:val="center"/>
          </w:tcPr>
          <w:p w14:paraId="0F702A27" w14:textId="4F0318BD" w:rsidR="000C42F9" w:rsidRPr="0031117E" w:rsidRDefault="000C42F9" w:rsidP="000C42F9">
            <w:pPr>
              <w:pStyle w:val="TAL"/>
            </w:pPr>
            <w:r>
              <w:t>202</w:t>
            </w:r>
            <w:r w:rsidR="0001477C">
              <w:t>5</w:t>
            </w:r>
            <w:r>
              <w:t>-</w:t>
            </w:r>
            <w:r w:rsidR="0001477C">
              <w:t>12</w:t>
            </w:r>
          </w:p>
        </w:tc>
        <w:tc>
          <w:tcPr>
            <w:tcW w:w="3484" w:type="dxa"/>
            <w:vAlign w:val="center"/>
          </w:tcPr>
          <w:p w14:paraId="5D0DCB78" w14:textId="44D8FAD4" w:rsidR="000C42F9" w:rsidRPr="0031117E" w:rsidRDefault="000C42F9" w:rsidP="000C42F9">
            <w:pPr>
              <w:pStyle w:val="TAL"/>
            </w:pPr>
          </w:p>
        </w:tc>
      </w:tr>
      <w:tr w:rsidR="000C42F9" w:rsidRPr="0031117E" w14:paraId="5AA168E1" w14:textId="77777777">
        <w:trPr>
          <w:jc w:val="center"/>
        </w:trPr>
        <w:tc>
          <w:tcPr>
            <w:tcW w:w="1396" w:type="dxa"/>
            <w:vAlign w:val="center"/>
          </w:tcPr>
          <w:p w14:paraId="3F9ED599" w14:textId="449F0183" w:rsidR="000C42F9" w:rsidRPr="0031117E" w:rsidRDefault="000C42F9" w:rsidP="000C42F9">
            <w:pPr>
              <w:pStyle w:val="TAL"/>
            </w:pPr>
            <w:r w:rsidRPr="0031117E">
              <w:t>P.C2</w:t>
            </w:r>
          </w:p>
        </w:tc>
        <w:tc>
          <w:tcPr>
            <w:tcW w:w="3514" w:type="dxa"/>
            <w:vAlign w:val="center"/>
          </w:tcPr>
          <w:p w14:paraId="4B7511F1" w14:textId="4DB4EF21" w:rsidR="000C42F9" w:rsidRPr="0031117E" w:rsidRDefault="000C42F9" w:rsidP="000C42F9">
            <w:pPr>
              <w:pStyle w:val="TAL"/>
            </w:pPr>
            <w:r w:rsidRPr="0031117E">
              <w:t>PoC Expected Contribution 2</w:t>
            </w:r>
          </w:p>
        </w:tc>
        <w:tc>
          <w:tcPr>
            <w:tcW w:w="957" w:type="dxa"/>
            <w:vAlign w:val="center"/>
          </w:tcPr>
          <w:p w14:paraId="653E2FB4" w14:textId="77FF619F" w:rsidR="000C42F9" w:rsidRPr="0031117E" w:rsidRDefault="00AF526F" w:rsidP="000C42F9">
            <w:pPr>
              <w:pStyle w:val="TAL"/>
            </w:pPr>
            <w:r>
              <w:t>202</w:t>
            </w:r>
            <w:r w:rsidR="0001477C">
              <w:t>6</w:t>
            </w:r>
            <w:r>
              <w:t>-</w:t>
            </w:r>
            <w:r w:rsidR="0001477C">
              <w:t>01</w:t>
            </w:r>
          </w:p>
        </w:tc>
        <w:tc>
          <w:tcPr>
            <w:tcW w:w="3484" w:type="dxa"/>
            <w:vAlign w:val="center"/>
          </w:tcPr>
          <w:p w14:paraId="1DB8EE79" w14:textId="1B5106C7" w:rsidR="000C42F9" w:rsidRPr="0031117E" w:rsidRDefault="000C42F9" w:rsidP="000C42F9">
            <w:pPr>
              <w:pStyle w:val="TAL"/>
            </w:pPr>
          </w:p>
        </w:tc>
      </w:tr>
      <w:tr w:rsidR="000C42F9" w:rsidRPr="0031117E" w14:paraId="74213BC6" w14:textId="77777777">
        <w:trPr>
          <w:jc w:val="center"/>
        </w:trPr>
        <w:tc>
          <w:tcPr>
            <w:tcW w:w="1396" w:type="dxa"/>
            <w:vAlign w:val="center"/>
          </w:tcPr>
          <w:p w14:paraId="2A6392CA" w14:textId="0B76D2F2" w:rsidR="000C42F9" w:rsidRPr="0031117E" w:rsidRDefault="000C42F9" w:rsidP="000C42F9">
            <w:pPr>
              <w:pStyle w:val="TAL"/>
            </w:pPr>
            <w:proofErr w:type="gramStart"/>
            <w:r w:rsidRPr="0031117E">
              <w:t>P.R</w:t>
            </w:r>
            <w:proofErr w:type="gramEnd"/>
          </w:p>
        </w:tc>
        <w:tc>
          <w:tcPr>
            <w:tcW w:w="3514" w:type="dxa"/>
            <w:vAlign w:val="center"/>
          </w:tcPr>
          <w:p w14:paraId="4903154A" w14:textId="25AE247B" w:rsidR="000C42F9" w:rsidRPr="0031117E" w:rsidRDefault="000C42F9" w:rsidP="000C42F9">
            <w:pPr>
              <w:pStyle w:val="TAL"/>
            </w:pPr>
            <w:r w:rsidRPr="0031117E">
              <w:t>PoC Report</w:t>
            </w:r>
          </w:p>
        </w:tc>
        <w:tc>
          <w:tcPr>
            <w:tcW w:w="957" w:type="dxa"/>
            <w:vAlign w:val="center"/>
          </w:tcPr>
          <w:p w14:paraId="1654A3C8" w14:textId="4D665AF9" w:rsidR="000C42F9" w:rsidRPr="0031117E" w:rsidRDefault="000C42F9" w:rsidP="000C42F9">
            <w:pPr>
              <w:pStyle w:val="TAL"/>
            </w:pPr>
            <w:r>
              <w:t>202</w:t>
            </w:r>
            <w:r w:rsidR="0001477C">
              <w:t>6</w:t>
            </w:r>
            <w:r>
              <w:t>-</w:t>
            </w:r>
            <w:r w:rsidR="0001477C">
              <w:t>03</w:t>
            </w:r>
          </w:p>
        </w:tc>
        <w:tc>
          <w:tcPr>
            <w:tcW w:w="3484" w:type="dxa"/>
            <w:vAlign w:val="center"/>
          </w:tcPr>
          <w:p w14:paraId="481BF8B6" w14:textId="77777777" w:rsidR="000C42F9" w:rsidRPr="0031117E" w:rsidRDefault="000C42F9" w:rsidP="000C42F9">
            <w:pPr>
              <w:pStyle w:val="TAL"/>
            </w:pPr>
          </w:p>
        </w:tc>
      </w:tr>
      <w:tr w:rsidR="000C42F9" w:rsidRPr="0031117E" w14:paraId="72665340" w14:textId="77777777">
        <w:trPr>
          <w:jc w:val="center"/>
        </w:trPr>
        <w:tc>
          <w:tcPr>
            <w:tcW w:w="1396" w:type="dxa"/>
            <w:vAlign w:val="center"/>
          </w:tcPr>
          <w:p w14:paraId="39FF1D15" w14:textId="1799EA9C" w:rsidR="000C42F9" w:rsidRPr="0031117E" w:rsidRDefault="000C42F9" w:rsidP="000C42F9">
            <w:pPr>
              <w:pStyle w:val="TAL"/>
            </w:pPr>
            <w:proofErr w:type="gramStart"/>
            <w:r w:rsidRPr="0031117E">
              <w:t>P.E</w:t>
            </w:r>
            <w:proofErr w:type="gramEnd"/>
          </w:p>
        </w:tc>
        <w:tc>
          <w:tcPr>
            <w:tcW w:w="3514" w:type="dxa"/>
            <w:vAlign w:val="center"/>
          </w:tcPr>
          <w:p w14:paraId="0B0B75BD" w14:textId="15DF7204" w:rsidR="000C42F9" w:rsidRPr="0031117E" w:rsidRDefault="000C42F9" w:rsidP="000C42F9">
            <w:pPr>
              <w:pStyle w:val="TAL"/>
            </w:pPr>
            <w:r w:rsidRPr="0031117E">
              <w:t>PoC Project End</w:t>
            </w:r>
          </w:p>
        </w:tc>
        <w:tc>
          <w:tcPr>
            <w:tcW w:w="957" w:type="dxa"/>
            <w:vAlign w:val="center"/>
          </w:tcPr>
          <w:p w14:paraId="51B09599" w14:textId="05389A30" w:rsidR="000C42F9" w:rsidRPr="0031117E" w:rsidRDefault="000C42F9" w:rsidP="000C42F9">
            <w:pPr>
              <w:pStyle w:val="TAL"/>
            </w:pPr>
            <w:r>
              <w:t>202</w:t>
            </w:r>
            <w:r w:rsidR="0001477C">
              <w:t>6</w:t>
            </w:r>
            <w:r>
              <w:t>-</w:t>
            </w:r>
            <w:r w:rsidR="0001477C">
              <w:t>04</w:t>
            </w:r>
          </w:p>
        </w:tc>
        <w:tc>
          <w:tcPr>
            <w:tcW w:w="3484" w:type="dxa"/>
            <w:vAlign w:val="center"/>
          </w:tcPr>
          <w:p w14:paraId="7E67E26C" w14:textId="77777777" w:rsidR="000C42F9" w:rsidRPr="0031117E" w:rsidRDefault="000C42F9" w:rsidP="000C42F9">
            <w:pPr>
              <w:pStyle w:val="TAL"/>
            </w:pPr>
          </w:p>
        </w:tc>
      </w:tr>
      <w:tr w:rsidR="000C42F9" w:rsidRPr="0031117E" w14:paraId="4AE9423A" w14:textId="77777777">
        <w:trPr>
          <w:jc w:val="center"/>
        </w:trPr>
        <w:tc>
          <w:tcPr>
            <w:tcW w:w="9351" w:type="dxa"/>
            <w:gridSpan w:val="4"/>
            <w:vAlign w:val="center"/>
          </w:tcPr>
          <w:p w14:paraId="0F51A9BC" w14:textId="38E11F86" w:rsidR="000C42F9" w:rsidRPr="0031117E" w:rsidRDefault="000C42F9" w:rsidP="000C42F9">
            <w:pPr>
              <w:pStyle w:val="TAN"/>
            </w:pPr>
          </w:p>
        </w:tc>
      </w:tr>
    </w:tbl>
    <w:p w14:paraId="719E75FF" w14:textId="77777777" w:rsidR="004C3466" w:rsidRPr="0031117E" w:rsidRDefault="004C3466" w:rsidP="004C3466">
      <w:pPr>
        <w:rPr>
          <w:lang w:eastAsia="ko-KR"/>
        </w:rPr>
      </w:pPr>
    </w:p>
    <w:p w14:paraId="6721AA0D" w14:textId="77777777" w:rsidR="004C3466" w:rsidRPr="0031117E" w:rsidRDefault="005E3FDC" w:rsidP="004C3466">
      <w:pPr>
        <w:pStyle w:val="Heading2"/>
      </w:pPr>
      <w:bookmarkStart w:id="24" w:name="_Toc39653735"/>
      <w:bookmarkStart w:id="25" w:name="_Toc39659566"/>
      <w:bookmarkStart w:id="26" w:name="_Toc40443094"/>
      <w:r>
        <w:t>1</w:t>
      </w:r>
      <w:r w:rsidR="004C3466" w:rsidRPr="0031117E">
        <w:t>.5</w:t>
      </w:r>
      <w:r w:rsidR="004C3466" w:rsidRPr="0031117E">
        <w:tab/>
        <w:t>Additional Details</w:t>
      </w:r>
      <w:bookmarkEnd w:id="24"/>
      <w:bookmarkEnd w:id="25"/>
      <w:bookmarkEnd w:id="26"/>
    </w:p>
    <w:p w14:paraId="11859CA7" w14:textId="77777777" w:rsidR="004C3466" w:rsidRPr="0031117E" w:rsidRDefault="004C3466" w:rsidP="004C3466">
      <w:r w:rsidRPr="008C22CB">
        <w:rPr>
          <w:color w:val="0070C0"/>
        </w:rPr>
        <w:t>For example, URL, planned publications, conferences, etc.</w:t>
      </w:r>
    </w:p>
    <w:p w14:paraId="4DD763AC" w14:textId="77777777" w:rsidR="004C3466" w:rsidRPr="0031117E" w:rsidRDefault="004C3466" w:rsidP="004C3466">
      <w:pPr>
        <w:pStyle w:val="Heading1"/>
      </w:pPr>
      <w:bookmarkStart w:id="27" w:name="_Toc39653736"/>
      <w:bookmarkStart w:id="28" w:name="_Toc39659567"/>
      <w:bookmarkStart w:id="29" w:name="_Toc40443095"/>
      <w:r w:rsidRPr="0031117E">
        <w:t>2</w:t>
      </w:r>
      <w:r w:rsidRPr="0031117E">
        <w:tab/>
        <w:t>PoC Technical Details</w:t>
      </w:r>
      <w:bookmarkEnd w:id="27"/>
      <w:bookmarkEnd w:id="28"/>
      <w:bookmarkEnd w:id="29"/>
    </w:p>
    <w:p w14:paraId="5B178F61" w14:textId="77777777" w:rsidR="004C3466" w:rsidRPr="0031117E" w:rsidRDefault="004C3466" w:rsidP="004C3466">
      <w:pPr>
        <w:pStyle w:val="Heading2"/>
      </w:pPr>
      <w:bookmarkStart w:id="30" w:name="_Toc39653737"/>
      <w:bookmarkStart w:id="31" w:name="_Toc39659568"/>
      <w:bookmarkStart w:id="32" w:name="_Toc40443096"/>
      <w:r w:rsidRPr="0031117E">
        <w:t>2.1</w:t>
      </w:r>
      <w:r w:rsidRPr="0031117E">
        <w:tab/>
        <w:t>PoC Overview</w:t>
      </w:r>
      <w:bookmarkEnd w:id="30"/>
      <w:bookmarkEnd w:id="31"/>
      <w:bookmarkEnd w:id="32"/>
    </w:p>
    <w:p w14:paraId="31E46A89" w14:textId="1F7B0EB8" w:rsidR="004C3466" w:rsidRDefault="0001477C" w:rsidP="00DA522D">
      <w:r w:rsidRPr="0001477C">
        <w:t>The PoC will establish a streamlined data quality assessment workflow. Users will interact with the UI/UX Front-end to initiate a validation run on a test dataset. This action triggers the Python Validation Library, which runs the TR 104 180 verification formulas against the data. The library processes the data, calculates the metric scores, and returns a structured validation report. The Front-end then consumes this report to display an interactive, easy-to-understand Data Quality Dashboard, providing the score and highlighting specific data issues.</w:t>
      </w:r>
    </w:p>
    <w:p w14:paraId="762C664B" w14:textId="77777777" w:rsidR="0001477C" w:rsidRPr="0031117E" w:rsidRDefault="0001477C" w:rsidP="00DA522D"/>
    <w:p w14:paraId="22D7CBA2" w14:textId="77777777" w:rsidR="004C3466" w:rsidRPr="0031117E" w:rsidRDefault="004C3466" w:rsidP="004C3466">
      <w:pPr>
        <w:pStyle w:val="Heading2"/>
      </w:pPr>
      <w:bookmarkStart w:id="33" w:name="_Toc39653738"/>
      <w:bookmarkStart w:id="34" w:name="_Toc39659569"/>
      <w:bookmarkStart w:id="35" w:name="_Toc40443097"/>
      <w:r w:rsidRPr="0031117E">
        <w:t>2.2</w:t>
      </w:r>
      <w:r w:rsidRPr="0031117E">
        <w:tab/>
        <w:t>PoC Architecture</w:t>
      </w:r>
      <w:bookmarkEnd w:id="33"/>
      <w:bookmarkEnd w:id="34"/>
      <w:bookmarkEnd w:id="35"/>
    </w:p>
    <w:p w14:paraId="4BABD2BA" w14:textId="6D7F0F2F" w:rsidR="004C3466" w:rsidRDefault="00A64F02" w:rsidP="004C3466">
      <w:r>
        <w:t xml:space="preserve">The detailed </w:t>
      </w:r>
      <w:r w:rsidR="0001477C">
        <w:t xml:space="preserve">data quality validation tool </w:t>
      </w:r>
      <w:r>
        <w:t>PoC architecture is shown below.</w:t>
      </w:r>
    </w:p>
    <w:p w14:paraId="11021766" w14:textId="77777777" w:rsidR="00A234FB" w:rsidRDefault="00A234FB" w:rsidP="004C3466"/>
    <w:p w14:paraId="48B10586" w14:textId="77777777" w:rsidR="00A234FB" w:rsidRDefault="00A234FB" w:rsidP="00A234FB">
      <w:pPr>
        <w:keepNext/>
      </w:pPr>
      <w:r w:rsidRPr="00A234FB">
        <w:rPr>
          <w:noProof/>
        </w:rPr>
        <w:drawing>
          <wp:inline distT="0" distB="0" distL="0" distR="0" wp14:anchorId="6AB1B07E" wp14:editId="2C4BBC94">
            <wp:extent cx="6188710" cy="1745615"/>
            <wp:effectExtent l="0" t="0" r="0" b="0"/>
            <wp:docPr id="1276510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10235" name=""/>
                    <pic:cNvPicPr/>
                  </pic:nvPicPr>
                  <pic:blipFill>
                    <a:blip r:embed="rId7"/>
                    <a:stretch>
                      <a:fillRect/>
                    </a:stretch>
                  </pic:blipFill>
                  <pic:spPr>
                    <a:xfrm>
                      <a:off x="0" y="0"/>
                      <a:ext cx="6188710" cy="1745615"/>
                    </a:xfrm>
                    <a:prstGeom prst="rect">
                      <a:avLst/>
                    </a:prstGeom>
                  </pic:spPr>
                </pic:pic>
              </a:graphicData>
            </a:graphic>
          </wp:inline>
        </w:drawing>
      </w:r>
    </w:p>
    <w:p w14:paraId="2DE20515" w14:textId="1F4A298B" w:rsidR="00A234FB" w:rsidRPr="00A234FB" w:rsidRDefault="00A234FB" w:rsidP="00A234FB">
      <w:pPr>
        <w:pStyle w:val="Caption"/>
        <w:jc w:val="center"/>
        <w:rPr>
          <w:rFonts w:ascii="Arial" w:hAnsi="Arial" w:cs="Arial"/>
          <w:i w:val="0"/>
          <w:iCs w:val="0"/>
          <w:color w:val="000000" w:themeColor="text1"/>
        </w:rPr>
      </w:pPr>
      <w:r w:rsidRPr="00A234FB">
        <w:rPr>
          <w:rFonts w:ascii="Arial" w:hAnsi="Arial" w:cs="Arial"/>
          <w:i w:val="0"/>
          <w:iCs w:val="0"/>
          <w:color w:val="000000" w:themeColor="text1"/>
        </w:rPr>
        <w:t xml:space="preserve">Figure </w:t>
      </w:r>
      <w:r>
        <w:rPr>
          <w:rFonts w:ascii="Arial" w:hAnsi="Arial" w:cs="Arial"/>
          <w:i w:val="0"/>
          <w:iCs w:val="0"/>
          <w:color w:val="000000" w:themeColor="text1"/>
        </w:rPr>
        <w:t>2.2-1 High level architecture of Data Quality Validation system PoC</w:t>
      </w:r>
    </w:p>
    <w:p w14:paraId="638F91C7" w14:textId="77777777" w:rsidR="00A234FB" w:rsidRDefault="00A234FB" w:rsidP="004C3466"/>
    <w:p w14:paraId="42F2E036" w14:textId="34246D3A" w:rsidR="0001477C" w:rsidRPr="00DC74B0" w:rsidRDefault="0001477C" w:rsidP="00DC74B0">
      <w:pPr>
        <w:rPr>
          <w:lang w:eastAsia="ko-KR"/>
        </w:rPr>
      </w:pPr>
      <w:r>
        <w:rPr>
          <w:rStyle w:val="selected"/>
        </w:rPr>
        <w:t>The proposed architecture follows a clear service-oriented design:</w:t>
      </w:r>
    </w:p>
    <w:p w14:paraId="0B670024" w14:textId="493DFE14" w:rsidR="0001477C" w:rsidRPr="00DC74B0" w:rsidRDefault="0001477C" w:rsidP="00DC74B0">
      <w:pPr>
        <w:pStyle w:val="ListParagraph"/>
        <w:numPr>
          <w:ilvl w:val="0"/>
          <w:numId w:val="12"/>
        </w:numPr>
      </w:pPr>
      <w:r w:rsidRPr="00DC74B0">
        <w:t>Front-end UI/UX: Handles user interaction, configuration of quality checks, and visualization of results (dashboard).</w:t>
      </w:r>
    </w:p>
    <w:p w14:paraId="20ACC8AB" w14:textId="2EE6C0B8" w:rsidR="0001477C" w:rsidRPr="00DC74B0" w:rsidRDefault="0001477C" w:rsidP="00DC74B0">
      <w:pPr>
        <w:pStyle w:val="ListParagraph"/>
        <w:numPr>
          <w:ilvl w:val="0"/>
          <w:numId w:val="12"/>
        </w:numPr>
      </w:pPr>
      <w:r w:rsidRPr="00DC74B0">
        <w:lastRenderedPageBreak/>
        <w:t xml:space="preserve">Python validation library: </w:t>
      </w:r>
      <w:r w:rsidR="00DC74B0" w:rsidRPr="00DC74B0">
        <w:t>The modular, open-source component that contains the direct implementation of the TR 104 180 verification formulas. Its primary function is to accept raw data and return calculated metric scores and associated error reports. It operates as a pure Python module independent of the web stack.</w:t>
      </w:r>
    </w:p>
    <w:p w14:paraId="0CD44625" w14:textId="09BCD31C" w:rsidR="0001477C" w:rsidRPr="00DC74B0" w:rsidRDefault="0001477C" w:rsidP="00DC74B0">
      <w:pPr>
        <w:pStyle w:val="ListParagraph"/>
        <w:numPr>
          <w:ilvl w:val="0"/>
          <w:numId w:val="12"/>
        </w:numPr>
      </w:pPr>
      <w:r w:rsidRPr="00DC74B0">
        <w:t xml:space="preserve">Back-end validation system: </w:t>
      </w:r>
      <w:r w:rsidR="00DC74B0" w:rsidRPr="00DC74B0">
        <w:t>The core component that manages the workflow. It receives requests from the Front-end, fetches the target data, invokes the Python Validation Library to perform the calculations, and formats the results. Exposes API endpoints for the Front-end to submit data and retrieve reports.</w:t>
      </w:r>
    </w:p>
    <w:p w14:paraId="639F515A" w14:textId="6FB1A750" w:rsidR="0001477C" w:rsidRPr="00DC74B0" w:rsidRDefault="0001477C" w:rsidP="00DC74B0">
      <w:pPr>
        <w:pStyle w:val="ListParagraph"/>
        <w:numPr>
          <w:ilvl w:val="0"/>
          <w:numId w:val="12"/>
        </w:numPr>
        <w:rPr>
          <w:lang w:eastAsia="ko-KR"/>
        </w:rPr>
      </w:pPr>
      <w:r w:rsidRPr="00DC74B0">
        <w:t xml:space="preserve">Test dataset: </w:t>
      </w:r>
      <w:r w:rsidR="00DC74B0" w:rsidRPr="00DC74B0">
        <w:t>Contains structured sample data (e.g., JSON, CSV) explicitly designed to test the full range of Data Quality Metrics, including both compliant and non-compliant records to demonstrate system effectiveness.</w:t>
      </w:r>
    </w:p>
    <w:p w14:paraId="2523105F" w14:textId="747F0E54" w:rsidR="0001477C" w:rsidRPr="0001477C" w:rsidRDefault="0001477C" w:rsidP="0001477C">
      <w:pPr>
        <w:rPr>
          <w:lang w:eastAsia="ko-KR"/>
        </w:rPr>
      </w:pPr>
      <w:r w:rsidRPr="0001477C">
        <w:t>The architecture ensures that the core validation logic (the Python Library) is decoupled from the visualization (the UI), making the library highly portable and usable by other applications.</w:t>
      </w:r>
    </w:p>
    <w:p w14:paraId="2215640C" w14:textId="77777777" w:rsidR="0001477C" w:rsidRPr="00DC74B0" w:rsidRDefault="0001477C" w:rsidP="004C3466">
      <w:pPr>
        <w:rPr>
          <w:lang w:val="en-US"/>
        </w:rPr>
      </w:pPr>
    </w:p>
    <w:p w14:paraId="19C01159" w14:textId="77777777" w:rsidR="004C3466" w:rsidRPr="0031117E" w:rsidRDefault="004C3466" w:rsidP="004C3466">
      <w:pPr>
        <w:pStyle w:val="Heading2"/>
      </w:pPr>
      <w:bookmarkStart w:id="36" w:name="_Toc39653739"/>
      <w:bookmarkStart w:id="37" w:name="_Toc39659570"/>
      <w:bookmarkStart w:id="38" w:name="_Toc40443098"/>
      <w:r w:rsidRPr="0031117E">
        <w:t>2.3</w:t>
      </w:r>
      <w:r w:rsidRPr="0031117E">
        <w:tab/>
        <w:t>PoC Success Criteria</w:t>
      </w:r>
      <w:bookmarkEnd w:id="36"/>
      <w:bookmarkEnd w:id="37"/>
      <w:bookmarkEnd w:id="38"/>
    </w:p>
    <w:p w14:paraId="72450E3B" w14:textId="77777777" w:rsidR="0001477C" w:rsidRPr="0001477C" w:rsidRDefault="0001477C" w:rsidP="0001477C">
      <w:r w:rsidRPr="0001477C">
        <w:t>The PoC will be considered successful if the following criteria are functionally met and demonstrated:</w:t>
      </w:r>
    </w:p>
    <w:p w14:paraId="5E3FD475" w14:textId="77777777" w:rsidR="0001477C" w:rsidRPr="0001477C" w:rsidRDefault="0001477C" w:rsidP="0001477C">
      <w:pPr>
        <w:pStyle w:val="ListParagraph"/>
        <w:numPr>
          <w:ilvl w:val="0"/>
          <w:numId w:val="11"/>
        </w:numPr>
        <w:spacing w:after="120"/>
        <w:ind w:left="714" w:hanging="357"/>
        <w:contextualSpacing w:val="0"/>
      </w:pPr>
      <w:r w:rsidRPr="0001477C">
        <w:t>Formula Verification: The Python library successfully calculates and reports numerical scores for at least three core Data Quality Metrics (e.g., Completeness, Accuracy, and Uniqueness) using the exact verification formulas specified in ETSI TR 104 180.</w:t>
      </w:r>
    </w:p>
    <w:p w14:paraId="51C6836A" w14:textId="77777777" w:rsidR="0001477C" w:rsidRPr="0001477C" w:rsidRDefault="0001477C" w:rsidP="0001477C">
      <w:pPr>
        <w:pStyle w:val="ListParagraph"/>
        <w:numPr>
          <w:ilvl w:val="0"/>
          <w:numId w:val="11"/>
        </w:numPr>
        <w:spacing w:after="120"/>
        <w:ind w:left="714" w:hanging="357"/>
        <w:contextualSpacing w:val="0"/>
      </w:pPr>
      <w:r w:rsidRPr="0001477C">
        <w:t>End-to-End Demonstration: A user can upload the test dataset via the UI, initiate the validation, and receive the comprehensive quality dashboard displaying the pass/fail status and metric scores.</w:t>
      </w:r>
    </w:p>
    <w:p w14:paraId="47AC5D76" w14:textId="77777777" w:rsidR="0001477C" w:rsidRPr="0001477C" w:rsidRDefault="0001477C" w:rsidP="0001477C">
      <w:pPr>
        <w:pStyle w:val="ListParagraph"/>
        <w:numPr>
          <w:ilvl w:val="0"/>
          <w:numId w:val="11"/>
        </w:numPr>
        <w:spacing w:after="120"/>
        <w:ind w:left="714" w:hanging="357"/>
        <w:contextualSpacing w:val="0"/>
      </w:pPr>
      <w:r w:rsidRPr="0001477C">
        <w:t>Source Code Readiness: The Python Validation Library component is stable, well-documented, and packaged, ready for open-source publication and community consumption.</w:t>
      </w:r>
    </w:p>
    <w:p w14:paraId="3A8A5D8C" w14:textId="77777777" w:rsidR="0001477C" w:rsidRPr="0001477C" w:rsidRDefault="0001477C" w:rsidP="0001477C">
      <w:pPr>
        <w:pStyle w:val="ListParagraph"/>
        <w:numPr>
          <w:ilvl w:val="0"/>
          <w:numId w:val="11"/>
        </w:numPr>
        <w:spacing w:after="120"/>
        <w:ind w:left="714" w:hanging="357"/>
        <w:contextualSpacing w:val="0"/>
      </w:pPr>
      <w:r w:rsidRPr="0001477C">
        <w:t xml:space="preserve">Issue Identification: The UI </w:t>
      </w:r>
      <w:proofErr w:type="gramStart"/>
      <w:r w:rsidRPr="0001477C">
        <w:t>is able to</w:t>
      </w:r>
      <w:proofErr w:type="gramEnd"/>
      <w:r w:rsidRPr="0001477C">
        <w:t xml:space="preserve"> specifically identify and highlight, for the user, the exact records or data points within the dataset that caused a metric failure (e.g., showing which records lack a required field for Completeness).</w:t>
      </w:r>
    </w:p>
    <w:p w14:paraId="449AEE68" w14:textId="77777777" w:rsidR="008C22CB" w:rsidRPr="0001477C" w:rsidRDefault="008C22CB" w:rsidP="00531ABF">
      <w:pPr>
        <w:rPr>
          <w:lang w:val="en-KR" w:eastAsia="ko-KR"/>
        </w:rPr>
      </w:pPr>
    </w:p>
    <w:p w14:paraId="7A949A70" w14:textId="4D6E1046" w:rsidR="004C3466" w:rsidRPr="0031117E" w:rsidRDefault="004C3466" w:rsidP="004C3466">
      <w:pPr>
        <w:pStyle w:val="Heading2"/>
      </w:pPr>
      <w:bookmarkStart w:id="39" w:name="_Toc39653740"/>
      <w:bookmarkStart w:id="40" w:name="_Toc39659571"/>
      <w:bookmarkStart w:id="41" w:name="_Toc40443099"/>
      <w:r w:rsidRPr="0031117E">
        <w:t>2.4</w:t>
      </w:r>
      <w:r w:rsidRPr="0031117E">
        <w:tab/>
        <w:t>Additional information</w:t>
      </w:r>
      <w:bookmarkEnd w:id="39"/>
      <w:bookmarkEnd w:id="40"/>
      <w:bookmarkEnd w:id="41"/>
    </w:p>
    <w:p w14:paraId="31F5B0ED" w14:textId="4C3CED7F" w:rsidR="004C3466" w:rsidRPr="00531ABF" w:rsidRDefault="00531ABF" w:rsidP="004C3466">
      <w:pPr>
        <w:rPr>
          <w:rFonts w:ascii="Batang" w:eastAsia="Batang" w:hAnsi="Batang" w:cs="Batang"/>
          <w:lang w:val="en-US" w:eastAsia="ko-KR"/>
        </w:rPr>
      </w:pPr>
      <w:r>
        <w:t>No additional information</w:t>
      </w:r>
    </w:p>
    <w:p w14:paraId="39913FB3" w14:textId="641A1C7C" w:rsidR="008810A1" w:rsidRDefault="008810A1" w:rsidP="004C3466"/>
    <w:sectPr w:rsidR="008810A1" w:rsidSect="008C22C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571D" w14:textId="77777777" w:rsidR="005645B0" w:rsidRDefault="005645B0" w:rsidP="008C22CB">
      <w:pPr>
        <w:spacing w:after="0"/>
      </w:pPr>
      <w:r>
        <w:separator/>
      </w:r>
    </w:p>
  </w:endnote>
  <w:endnote w:type="continuationSeparator" w:id="0">
    <w:p w14:paraId="6A2D939F" w14:textId="77777777" w:rsidR="005645B0" w:rsidRDefault="005645B0" w:rsidP="008C2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0B2C" w14:textId="77777777" w:rsidR="005645B0" w:rsidRDefault="005645B0" w:rsidP="008C22CB">
      <w:pPr>
        <w:spacing w:after="0"/>
      </w:pPr>
      <w:r>
        <w:separator/>
      </w:r>
    </w:p>
  </w:footnote>
  <w:footnote w:type="continuationSeparator" w:id="0">
    <w:p w14:paraId="139380B7" w14:textId="77777777" w:rsidR="005645B0" w:rsidRDefault="005645B0" w:rsidP="008C22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B01"/>
    <w:multiLevelType w:val="hybridMultilevel"/>
    <w:tmpl w:val="EBA23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513BCB"/>
    <w:multiLevelType w:val="hybridMultilevel"/>
    <w:tmpl w:val="43A0B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6D58C2"/>
    <w:multiLevelType w:val="hybridMultilevel"/>
    <w:tmpl w:val="C3D2C54A"/>
    <w:lvl w:ilvl="0" w:tplc="114E3998">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A4824"/>
    <w:multiLevelType w:val="multilevel"/>
    <w:tmpl w:val="B4E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A69F7"/>
    <w:multiLevelType w:val="hybridMultilevel"/>
    <w:tmpl w:val="CDCA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81861"/>
    <w:multiLevelType w:val="hybridMultilevel"/>
    <w:tmpl w:val="E35C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E7839"/>
    <w:multiLevelType w:val="multilevel"/>
    <w:tmpl w:val="F74E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3E4113"/>
    <w:multiLevelType w:val="multilevel"/>
    <w:tmpl w:val="872A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F94A6A"/>
    <w:multiLevelType w:val="hybridMultilevel"/>
    <w:tmpl w:val="61D0ED84"/>
    <w:lvl w:ilvl="0" w:tplc="2098B1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559EB"/>
    <w:multiLevelType w:val="hybridMultilevel"/>
    <w:tmpl w:val="9638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22B80"/>
    <w:multiLevelType w:val="hybridMultilevel"/>
    <w:tmpl w:val="08ACF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976A63"/>
    <w:multiLevelType w:val="multilevel"/>
    <w:tmpl w:val="360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200862">
    <w:abstractNumId w:val="4"/>
  </w:num>
  <w:num w:numId="2" w16cid:durableId="1940260533">
    <w:abstractNumId w:val="6"/>
  </w:num>
  <w:num w:numId="3" w16cid:durableId="1831754988">
    <w:abstractNumId w:val="8"/>
  </w:num>
  <w:num w:numId="4" w16cid:durableId="209996054">
    <w:abstractNumId w:val="0"/>
  </w:num>
  <w:num w:numId="5" w16cid:durableId="2007780637">
    <w:abstractNumId w:val="2"/>
  </w:num>
  <w:num w:numId="6" w16cid:durableId="1471167979">
    <w:abstractNumId w:val="3"/>
  </w:num>
  <w:num w:numId="7" w16cid:durableId="1941178028">
    <w:abstractNumId w:val="1"/>
  </w:num>
  <w:num w:numId="8" w16cid:durableId="717974912">
    <w:abstractNumId w:val="11"/>
  </w:num>
  <w:num w:numId="9" w16cid:durableId="1303465527">
    <w:abstractNumId w:val="10"/>
  </w:num>
  <w:num w:numId="10" w16cid:durableId="1485857352">
    <w:abstractNumId w:val="7"/>
  </w:num>
  <w:num w:numId="11" w16cid:durableId="382482928">
    <w:abstractNumId w:val="9"/>
  </w:num>
  <w:num w:numId="12" w16cid:durableId="1210729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66"/>
    <w:rsid w:val="000039D9"/>
    <w:rsid w:val="00004FE7"/>
    <w:rsid w:val="0001379B"/>
    <w:rsid w:val="00014551"/>
    <w:rsid w:val="00014570"/>
    <w:rsid w:val="0001477C"/>
    <w:rsid w:val="0004582E"/>
    <w:rsid w:val="00046F79"/>
    <w:rsid w:val="00050BA0"/>
    <w:rsid w:val="000514A2"/>
    <w:rsid w:val="0005527B"/>
    <w:rsid w:val="0005706B"/>
    <w:rsid w:val="00061587"/>
    <w:rsid w:val="0006361A"/>
    <w:rsid w:val="00071594"/>
    <w:rsid w:val="00074613"/>
    <w:rsid w:val="000906B8"/>
    <w:rsid w:val="000937D2"/>
    <w:rsid w:val="00097452"/>
    <w:rsid w:val="000B39BE"/>
    <w:rsid w:val="000B76E4"/>
    <w:rsid w:val="000B7DF4"/>
    <w:rsid w:val="000C42F9"/>
    <w:rsid w:val="000D2C8A"/>
    <w:rsid w:val="000D4DBE"/>
    <w:rsid w:val="000D684E"/>
    <w:rsid w:val="000E0A05"/>
    <w:rsid w:val="000E63AF"/>
    <w:rsid w:val="000E6AC8"/>
    <w:rsid w:val="000F158A"/>
    <w:rsid w:val="000F3651"/>
    <w:rsid w:val="000F43BB"/>
    <w:rsid w:val="00104F26"/>
    <w:rsid w:val="00105901"/>
    <w:rsid w:val="001069BA"/>
    <w:rsid w:val="001069D7"/>
    <w:rsid w:val="0011616E"/>
    <w:rsid w:val="00122698"/>
    <w:rsid w:val="00125580"/>
    <w:rsid w:val="00127FF1"/>
    <w:rsid w:val="00140F54"/>
    <w:rsid w:val="00142A31"/>
    <w:rsid w:val="001574EC"/>
    <w:rsid w:val="0016059A"/>
    <w:rsid w:val="001750BC"/>
    <w:rsid w:val="00181C97"/>
    <w:rsid w:val="00184397"/>
    <w:rsid w:val="00184858"/>
    <w:rsid w:val="00185822"/>
    <w:rsid w:val="00187DEC"/>
    <w:rsid w:val="001930D6"/>
    <w:rsid w:val="001974FA"/>
    <w:rsid w:val="001B028F"/>
    <w:rsid w:val="001B0CCF"/>
    <w:rsid w:val="001B5B62"/>
    <w:rsid w:val="001C3882"/>
    <w:rsid w:val="001C56B1"/>
    <w:rsid w:val="001D385E"/>
    <w:rsid w:val="001D7890"/>
    <w:rsid w:val="001E0175"/>
    <w:rsid w:val="001E1F2C"/>
    <w:rsid w:val="001E3C57"/>
    <w:rsid w:val="001F06C5"/>
    <w:rsid w:val="001F1307"/>
    <w:rsid w:val="001F27B8"/>
    <w:rsid w:val="001F3AA3"/>
    <w:rsid w:val="00200D51"/>
    <w:rsid w:val="00220EB3"/>
    <w:rsid w:val="00221C29"/>
    <w:rsid w:val="00222B7B"/>
    <w:rsid w:val="00223705"/>
    <w:rsid w:val="002636C2"/>
    <w:rsid w:val="002712B7"/>
    <w:rsid w:val="0027135F"/>
    <w:rsid w:val="002756B6"/>
    <w:rsid w:val="00287031"/>
    <w:rsid w:val="00293397"/>
    <w:rsid w:val="00293AC9"/>
    <w:rsid w:val="002A47CC"/>
    <w:rsid w:val="002B3E3B"/>
    <w:rsid w:val="002C3968"/>
    <w:rsid w:val="002C7FA9"/>
    <w:rsid w:val="002D00CB"/>
    <w:rsid w:val="002D7553"/>
    <w:rsid w:val="002E752F"/>
    <w:rsid w:val="002E7992"/>
    <w:rsid w:val="002F5E1E"/>
    <w:rsid w:val="00303FE3"/>
    <w:rsid w:val="00311674"/>
    <w:rsid w:val="003139B3"/>
    <w:rsid w:val="0031457F"/>
    <w:rsid w:val="003326E7"/>
    <w:rsid w:val="00341CB2"/>
    <w:rsid w:val="00345BFC"/>
    <w:rsid w:val="0035181D"/>
    <w:rsid w:val="00352647"/>
    <w:rsid w:val="00360FC9"/>
    <w:rsid w:val="00370622"/>
    <w:rsid w:val="00381E2F"/>
    <w:rsid w:val="003A535E"/>
    <w:rsid w:val="003B3231"/>
    <w:rsid w:val="003C027C"/>
    <w:rsid w:val="003C5FE8"/>
    <w:rsid w:val="003D09DF"/>
    <w:rsid w:val="003D106B"/>
    <w:rsid w:val="003D3429"/>
    <w:rsid w:val="003D4575"/>
    <w:rsid w:val="003D78F1"/>
    <w:rsid w:val="003F0690"/>
    <w:rsid w:val="003F1ED4"/>
    <w:rsid w:val="00401E15"/>
    <w:rsid w:val="004070B0"/>
    <w:rsid w:val="0041165A"/>
    <w:rsid w:val="004122F5"/>
    <w:rsid w:val="00412545"/>
    <w:rsid w:val="00422208"/>
    <w:rsid w:val="0042248C"/>
    <w:rsid w:val="00425FDA"/>
    <w:rsid w:val="00434F77"/>
    <w:rsid w:val="00435D83"/>
    <w:rsid w:val="00436642"/>
    <w:rsid w:val="00436C3D"/>
    <w:rsid w:val="004377D8"/>
    <w:rsid w:val="00440A26"/>
    <w:rsid w:val="00443646"/>
    <w:rsid w:val="00443B1E"/>
    <w:rsid w:val="00444E20"/>
    <w:rsid w:val="00446F46"/>
    <w:rsid w:val="004478F1"/>
    <w:rsid w:val="0045461B"/>
    <w:rsid w:val="00460B35"/>
    <w:rsid w:val="00466F3C"/>
    <w:rsid w:val="00471E8A"/>
    <w:rsid w:val="004756C2"/>
    <w:rsid w:val="0047705D"/>
    <w:rsid w:val="00484603"/>
    <w:rsid w:val="00490928"/>
    <w:rsid w:val="00492C23"/>
    <w:rsid w:val="00495185"/>
    <w:rsid w:val="00496049"/>
    <w:rsid w:val="004A0CA3"/>
    <w:rsid w:val="004A3617"/>
    <w:rsid w:val="004B3CD6"/>
    <w:rsid w:val="004C2361"/>
    <w:rsid w:val="004C3466"/>
    <w:rsid w:val="004C4C04"/>
    <w:rsid w:val="004C6269"/>
    <w:rsid w:val="004E163B"/>
    <w:rsid w:val="004F2DAE"/>
    <w:rsid w:val="0050248E"/>
    <w:rsid w:val="00506C82"/>
    <w:rsid w:val="0052210C"/>
    <w:rsid w:val="00523370"/>
    <w:rsid w:val="00526E30"/>
    <w:rsid w:val="005273D3"/>
    <w:rsid w:val="00531ABF"/>
    <w:rsid w:val="00532FE2"/>
    <w:rsid w:val="00533A9E"/>
    <w:rsid w:val="005353AB"/>
    <w:rsid w:val="0054471D"/>
    <w:rsid w:val="005527D3"/>
    <w:rsid w:val="005527E8"/>
    <w:rsid w:val="00554B16"/>
    <w:rsid w:val="005614F5"/>
    <w:rsid w:val="005645B0"/>
    <w:rsid w:val="00566C1C"/>
    <w:rsid w:val="00571503"/>
    <w:rsid w:val="005818D6"/>
    <w:rsid w:val="00584199"/>
    <w:rsid w:val="00592674"/>
    <w:rsid w:val="00592AD1"/>
    <w:rsid w:val="0059370B"/>
    <w:rsid w:val="00594989"/>
    <w:rsid w:val="005A0808"/>
    <w:rsid w:val="005A0CCB"/>
    <w:rsid w:val="005A0E77"/>
    <w:rsid w:val="005A2668"/>
    <w:rsid w:val="005A6A31"/>
    <w:rsid w:val="005B0593"/>
    <w:rsid w:val="005B0596"/>
    <w:rsid w:val="005B1234"/>
    <w:rsid w:val="005B22EC"/>
    <w:rsid w:val="005B6269"/>
    <w:rsid w:val="005B7494"/>
    <w:rsid w:val="005C70EB"/>
    <w:rsid w:val="005D2F70"/>
    <w:rsid w:val="005E3FDC"/>
    <w:rsid w:val="005E503B"/>
    <w:rsid w:val="005F51A2"/>
    <w:rsid w:val="00606303"/>
    <w:rsid w:val="0061645E"/>
    <w:rsid w:val="0062339C"/>
    <w:rsid w:val="0062702A"/>
    <w:rsid w:val="00632E65"/>
    <w:rsid w:val="006410F4"/>
    <w:rsid w:val="00644A74"/>
    <w:rsid w:val="0064765C"/>
    <w:rsid w:val="0065079F"/>
    <w:rsid w:val="00662459"/>
    <w:rsid w:val="00662481"/>
    <w:rsid w:val="0066588F"/>
    <w:rsid w:val="00667E95"/>
    <w:rsid w:val="006746F4"/>
    <w:rsid w:val="006847E7"/>
    <w:rsid w:val="00684BFD"/>
    <w:rsid w:val="00684DA6"/>
    <w:rsid w:val="006964E0"/>
    <w:rsid w:val="006976B2"/>
    <w:rsid w:val="006A0BB9"/>
    <w:rsid w:val="006A2A75"/>
    <w:rsid w:val="006A3A0B"/>
    <w:rsid w:val="006A3A88"/>
    <w:rsid w:val="006A43B6"/>
    <w:rsid w:val="006B495D"/>
    <w:rsid w:val="006B5F0C"/>
    <w:rsid w:val="006C0E27"/>
    <w:rsid w:val="006C2FC6"/>
    <w:rsid w:val="006C78D4"/>
    <w:rsid w:val="006E1C65"/>
    <w:rsid w:val="006E1F54"/>
    <w:rsid w:val="006E21B5"/>
    <w:rsid w:val="006F04EA"/>
    <w:rsid w:val="006F06D0"/>
    <w:rsid w:val="006F1B0C"/>
    <w:rsid w:val="007003A1"/>
    <w:rsid w:val="00703423"/>
    <w:rsid w:val="0070351B"/>
    <w:rsid w:val="0071413C"/>
    <w:rsid w:val="00714F12"/>
    <w:rsid w:val="0071574E"/>
    <w:rsid w:val="007205EB"/>
    <w:rsid w:val="007208BC"/>
    <w:rsid w:val="00722C27"/>
    <w:rsid w:val="00725789"/>
    <w:rsid w:val="007272BD"/>
    <w:rsid w:val="007314FC"/>
    <w:rsid w:val="00733499"/>
    <w:rsid w:val="00733C46"/>
    <w:rsid w:val="00734DDF"/>
    <w:rsid w:val="00736498"/>
    <w:rsid w:val="007366A7"/>
    <w:rsid w:val="00737C96"/>
    <w:rsid w:val="0074166D"/>
    <w:rsid w:val="00743407"/>
    <w:rsid w:val="00747496"/>
    <w:rsid w:val="007520AA"/>
    <w:rsid w:val="007559CC"/>
    <w:rsid w:val="00760E01"/>
    <w:rsid w:val="007617BA"/>
    <w:rsid w:val="00763A60"/>
    <w:rsid w:val="007647E2"/>
    <w:rsid w:val="007666DA"/>
    <w:rsid w:val="0078000F"/>
    <w:rsid w:val="00782539"/>
    <w:rsid w:val="0078628D"/>
    <w:rsid w:val="0079153D"/>
    <w:rsid w:val="007A09B9"/>
    <w:rsid w:val="007A0A03"/>
    <w:rsid w:val="007A20B1"/>
    <w:rsid w:val="007A3E62"/>
    <w:rsid w:val="007A53C1"/>
    <w:rsid w:val="007B0A95"/>
    <w:rsid w:val="007B2F10"/>
    <w:rsid w:val="007B3A31"/>
    <w:rsid w:val="007B7422"/>
    <w:rsid w:val="007B7517"/>
    <w:rsid w:val="007C447E"/>
    <w:rsid w:val="007C44CD"/>
    <w:rsid w:val="007C6A31"/>
    <w:rsid w:val="007C76FD"/>
    <w:rsid w:val="007D2988"/>
    <w:rsid w:val="007D6953"/>
    <w:rsid w:val="007E07BC"/>
    <w:rsid w:val="007E60EC"/>
    <w:rsid w:val="007E61FB"/>
    <w:rsid w:val="007F5829"/>
    <w:rsid w:val="00811F89"/>
    <w:rsid w:val="008141F4"/>
    <w:rsid w:val="008162AA"/>
    <w:rsid w:val="00825D78"/>
    <w:rsid w:val="0082778A"/>
    <w:rsid w:val="00832112"/>
    <w:rsid w:val="00834687"/>
    <w:rsid w:val="00836127"/>
    <w:rsid w:val="0083711D"/>
    <w:rsid w:val="008417F3"/>
    <w:rsid w:val="00841F54"/>
    <w:rsid w:val="008471AC"/>
    <w:rsid w:val="0085155C"/>
    <w:rsid w:val="00852309"/>
    <w:rsid w:val="00854D3E"/>
    <w:rsid w:val="0086282C"/>
    <w:rsid w:val="00873820"/>
    <w:rsid w:val="0088013C"/>
    <w:rsid w:val="008810A1"/>
    <w:rsid w:val="008A52A8"/>
    <w:rsid w:val="008A6534"/>
    <w:rsid w:val="008B1036"/>
    <w:rsid w:val="008B1542"/>
    <w:rsid w:val="008B4DBC"/>
    <w:rsid w:val="008B5251"/>
    <w:rsid w:val="008C22CB"/>
    <w:rsid w:val="008C2B90"/>
    <w:rsid w:val="008C5774"/>
    <w:rsid w:val="008C6174"/>
    <w:rsid w:val="008D4A0C"/>
    <w:rsid w:val="008E0790"/>
    <w:rsid w:val="008E75BB"/>
    <w:rsid w:val="008E7828"/>
    <w:rsid w:val="008F4034"/>
    <w:rsid w:val="008F5BC2"/>
    <w:rsid w:val="008F72E5"/>
    <w:rsid w:val="00900B68"/>
    <w:rsid w:val="00905372"/>
    <w:rsid w:val="009134BC"/>
    <w:rsid w:val="00917FC8"/>
    <w:rsid w:val="00920B9B"/>
    <w:rsid w:val="009248CB"/>
    <w:rsid w:val="00932096"/>
    <w:rsid w:val="00932EC0"/>
    <w:rsid w:val="00933E21"/>
    <w:rsid w:val="0094677A"/>
    <w:rsid w:val="00947717"/>
    <w:rsid w:val="00972E77"/>
    <w:rsid w:val="00973978"/>
    <w:rsid w:val="0098331E"/>
    <w:rsid w:val="00986271"/>
    <w:rsid w:val="009962B9"/>
    <w:rsid w:val="009962C8"/>
    <w:rsid w:val="00996A08"/>
    <w:rsid w:val="0099752C"/>
    <w:rsid w:val="009A3C02"/>
    <w:rsid w:val="009A668F"/>
    <w:rsid w:val="009B659D"/>
    <w:rsid w:val="009C29DF"/>
    <w:rsid w:val="009C563B"/>
    <w:rsid w:val="009D03B4"/>
    <w:rsid w:val="009D344B"/>
    <w:rsid w:val="009D5F65"/>
    <w:rsid w:val="009D5F7B"/>
    <w:rsid w:val="009E7A5B"/>
    <w:rsid w:val="009F7594"/>
    <w:rsid w:val="00A06775"/>
    <w:rsid w:val="00A11024"/>
    <w:rsid w:val="00A171E3"/>
    <w:rsid w:val="00A17442"/>
    <w:rsid w:val="00A2322E"/>
    <w:rsid w:val="00A234FB"/>
    <w:rsid w:val="00A23A5A"/>
    <w:rsid w:val="00A269D4"/>
    <w:rsid w:val="00A41F1D"/>
    <w:rsid w:val="00A4466A"/>
    <w:rsid w:val="00A5181C"/>
    <w:rsid w:val="00A6416E"/>
    <w:rsid w:val="00A6436D"/>
    <w:rsid w:val="00A64F02"/>
    <w:rsid w:val="00A710C5"/>
    <w:rsid w:val="00A762A1"/>
    <w:rsid w:val="00A822BA"/>
    <w:rsid w:val="00A843AB"/>
    <w:rsid w:val="00A8542B"/>
    <w:rsid w:val="00A85779"/>
    <w:rsid w:val="00A868AE"/>
    <w:rsid w:val="00A9371F"/>
    <w:rsid w:val="00A95719"/>
    <w:rsid w:val="00AB42C7"/>
    <w:rsid w:val="00AC0325"/>
    <w:rsid w:val="00AD6D1D"/>
    <w:rsid w:val="00AE6A51"/>
    <w:rsid w:val="00AE71F6"/>
    <w:rsid w:val="00AF1EC0"/>
    <w:rsid w:val="00AF3C06"/>
    <w:rsid w:val="00AF526F"/>
    <w:rsid w:val="00B17674"/>
    <w:rsid w:val="00B2422D"/>
    <w:rsid w:val="00B33992"/>
    <w:rsid w:val="00B4336D"/>
    <w:rsid w:val="00B43FBB"/>
    <w:rsid w:val="00B47457"/>
    <w:rsid w:val="00B6011B"/>
    <w:rsid w:val="00B6516A"/>
    <w:rsid w:val="00B7244F"/>
    <w:rsid w:val="00B760FE"/>
    <w:rsid w:val="00B77FBA"/>
    <w:rsid w:val="00B924B5"/>
    <w:rsid w:val="00BA0C7D"/>
    <w:rsid w:val="00BA674D"/>
    <w:rsid w:val="00BB2F0F"/>
    <w:rsid w:val="00BB3DBC"/>
    <w:rsid w:val="00BB70B5"/>
    <w:rsid w:val="00BC2380"/>
    <w:rsid w:val="00BE4CD1"/>
    <w:rsid w:val="00BE525F"/>
    <w:rsid w:val="00BE638B"/>
    <w:rsid w:val="00BE7B73"/>
    <w:rsid w:val="00C03264"/>
    <w:rsid w:val="00C15100"/>
    <w:rsid w:val="00C2427B"/>
    <w:rsid w:val="00C27DBD"/>
    <w:rsid w:val="00C307B9"/>
    <w:rsid w:val="00C31D8C"/>
    <w:rsid w:val="00C34C66"/>
    <w:rsid w:val="00C370F4"/>
    <w:rsid w:val="00C41999"/>
    <w:rsid w:val="00C41E76"/>
    <w:rsid w:val="00C52048"/>
    <w:rsid w:val="00C563D4"/>
    <w:rsid w:val="00C565EC"/>
    <w:rsid w:val="00C61646"/>
    <w:rsid w:val="00C62F7B"/>
    <w:rsid w:val="00C63399"/>
    <w:rsid w:val="00C80CAF"/>
    <w:rsid w:val="00C83AB1"/>
    <w:rsid w:val="00C83F6C"/>
    <w:rsid w:val="00C85650"/>
    <w:rsid w:val="00C87D8E"/>
    <w:rsid w:val="00C902DF"/>
    <w:rsid w:val="00C9176F"/>
    <w:rsid w:val="00C923FB"/>
    <w:rsid w:val="00C977F4"/>
    <w:rsid w:val="00CA0590"/>
    <w:rsid w:val="00CA625E"/>
    <w:rsid w:val="00CA76D3"/>
    <w:rsid w:val="00CB0492"/>
    <w:rsid w:val="00CB1727"/>
    <w:rsid w:val="00CC1906"/>
    <w:rsid w:val="00CD1917"/>
    <w:rsid w:val="00CD36A3"/>
    <w:rsid w:val="00CD568F"/>
    <w:rsid w:val="00CD68CB"/>
    <w:rsid w:val="00CE0EB9"/>
    <w:rsid w:val="00CE4F2A"/>
    <w:rsid w:val="00CE6736"/>
    <w:rsid w:val="00CF6856"/>
    <w:rsid w:val="00D01B68"/>
    <w:rsid w:val="00D271FB"/>
    <w:rsid w:val="00D30AE9"/>
    <w:rsid w:val="00D30FED"/>
    <w:rsid w:val="00D3357F"/>
    <w:rsid w:val="00D37ACD"/>
    <w:rsid w:val="00D37CE3"/>
    <w:rsid w:val="00D40896"/>
    <w:rsid w:val="00D446C0"/>
    <w:rsid w:val="00D50473"/>
    <w:rsid w:val="00D51CB9"/>
    <w:rsid w:val="00D72C5A"/>
    <w:rsid w:val="00D84B6D"/>
    <w:rsid w:val="00D90591"/>
    <w:rsid w:val="00D90D70"/>
    <w:rsid w:val="00D93607"/>
    <w:rsid w:val="00DA2769"/>
    <w:rsid w:val="00DA4B31"/>
    <w:rsid w:val="00DA522D"/>
    <w:rsid w:val="00DC74B0"/>
    <w:rsid w:val="00DD05E8"/>
    <w:rsid w:val="00DD1011"/>
    <w:rsid w:val="00DD1EB5"/>
    <w:rsid w:val="00DD534D"/>
    <w:rsid w:val="00DD6110"/>
    <w:rsid w:val="00DD7D59"/>
    <w:rsid w:val="00DE787A"/>
    <w:rsid w:val="00DE7935"/>
    <w:rsid w:val="00DF1A93"/>
    <w:rsid w:val="00DF28D1"/>
    <w:rsid w:val="00DF6127"/>
    <w:rsid w:val="00E028D1"/>
    <w:rsid w:val="00E24EA3"/>
    <w:rsid w:val="00E25252"/>
    <w:rsid w:val="00E328A6"/>
    <w:rsid w:val="00E32BA6"/>
    <w:rsid w:val="00E37E51"/>
    <w:rsid w:val="00E37E7B"/>
    <w:rsid w:val="00E407AD"/>
    <w:rsid w:val="00E5788D"/>
    <w:rsid w:val="00E600BC"/>
    <w:rsid w:val="00E61236"/>
    <w:rsid w:val="00E65C6D"/>
    <w:rsid w:val="00E7092B"/>
    <w:rsid w:val="00E765B4"/>
    <w:rsid w:val="00E831EC"/>
    <w:rsid w:val="00E86199"/>
    <w:rsid w:val="00E93DD2"/>
    <w:rsid w:val="00EA0589"/>
    <w:rsid w:val="00EA6D57"/>
    <w:rsid w:val="00EB43FD"/>
    <w:rsid w:val="00EB4889"/>
    <w:rsid w:val="00EB7ABB"/>
    <w:rsid w:val="00EC7F20"/>
    <w:rsid w:val="00ED1661"/>
    <w:rsid w:val="00EE31A1"/>
    <w:rsid w:val="00EF4B98"/>
    <w:rsid w:val="00EF4F08"/>
    <w:rsid w:val="00F0687D"/>
    <w:rsid w:val="00F10A9B"/>
    <w:rsid w:val="00F1107A"/>
    <w:rsid w:val="00F13DA9"/>
    <w:rsid w:val="00F14F2D"/>
    <w:rsid w:val="00F15931"/>
    <w:rsid w:val="00F1795E"/>
    <w:rsid w:val="00F26DD7"/>
    <w:rsid w:val="00F41079"/>
    <w:rsid w:val="00F510F0"/>
    <w:rsid w:val="00F51F4D"/>
    <w:rsid w:val="00F55254"/>
    <w:rsid w:val="00F60C9A"/>
    <w:rsid w:val="00F67558"/>
    <w:rsid w:val="00F8152E"/>
    <w:rsid w:val="00F93738"/>
    <w:rsid w:val="00F94A65"/>
    <w:rsid w:val="00F94CB6"/>
    <w:rsid w:val="00FA03FE"/>
    <w:rsid w:val="00FB3231"/>
    <w:rsid w:val="00FB32A8"/>
    <w:rsid w:val="00FB6797"/>
    <w:rsid w:val="00FC2FDE"/>
    <w:rsid w:val="00FC572C"/>
    <w:rsid w:val="00FC6A23"/>
    <w:rsid w:val="00FC7FC1"/>
    <w:rsid w:val="00FD1844"/>
    <w:rsid w:val="00FD23BD"/>
    <w:rsid w:val="00FD3630"/>
    <w:rsid w:val="00FD4CFD"/>
    <w:rsid w:val="00FE519C"/>
    <w:rsid w:val="00FE7DD9"/>
    <w:rsid w:val="00FF29B2"/>
    <w:rsid w:val="00FF54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BAC4"/>
  <w15:docId w15:val="{94056C13-E2F0-0C43-AA57-913FFA62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466"/>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4C346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4C3466"/>
    <w:pPr>
      <w:pBdr>
        <w:top w:val="none" w:sz="0" w:space="0" w:color="auto"/>
      </w:pBdr>
      <w:spacing w:before="180"/>
      <w:outlineLvl w:val="1"/>
    </w:pPr>
    <w:rPr>
      <w:sz w:val="32"/>
    </w:rPr>
  </w:style>
  <w:style w:type="paragraph" w:styleId="Heading3">
    <w:name w:val="heading 3"/>
    <w:basedOn w:val="Heading2"/>
    <w:next w:val="Normal"/>
    <w:link w:val="Heading3Char"/>
    <w:qFormat/>
    <w:rsid w:val="004C3466"/>
    <w:pPr>
      <w:spacing w:before="120"/>
      <w:outlineLvl w:val="2"/>
    </w:pPr>
    <w:rPr>
      <w:sz w:val="28"/>
    </w:rPr>
  </w:style>
  <w:style w:type="paragraph" w:styleId="Heading8">
    <w:name w:val="heading 8"/>
    <w:basedOn w:val="Heading1"/>
    <w:next w:val="Normal"/>
    <w:link w:val="Heading8Char"/>
    <w:qFormat/>
    <w:rsid w:val="004C3466"/>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70351B"/>
    <w:pPr>
      <w:tabs>
        <w:tab w:val="right" w:leader="dot" w:pos="9629"/>
      </w:tabs>
      <w:overflowPunct/>
      <w:autoSpaceDE/>
      <w:autoSpaceDN/>
      <w:adjustRightInd/>
      <w:spacing w:after="100"/>
      <w:textAlignment w:val="auto"/>
    </w:pPr>
    <w:rPr>
      <w:szCs w:val="24"/>
      <w:lang w:val="es-ES" w:eastAsia="es-ES_tradnl"/>
    </w:rPr>
  </w:style>
  <w:style w:type="character" w:customStyle="1" w:styleId="Heading1Char">
    <w:name w:val="Heading 1 Char"/>
    <w:basedOn w:val="DefaultParagraphFont"/>
    <w:link w:val="Heading1"/>
    <w:rsid w:val="004C3466"/>
    <w:rPr>
      <w:rFonts w:ascii="Arial" w:eastAsia="Times New Roman" w:hAnsi="Arial" w:cs="Times New Roman"/>
      <w:sz w:val="36"/>
      <w:szCs w:val="20"/>
    </w:rPr>
  </w:style>
  <w:style w:type="character" w:customStyle="1" w:styleId="Heading2Char">
    <w:name w:val="Heading 2 Char"/>
    <w:basedOn w:val="DefaultParagraphFont"/>
    <w:link w:val="Heading2"/>
    <w:rsid w:val="004C3466"/>
    <w:rPr>
      <w:rFonts w:ascii="Arial" w:eastAsia="Times New Roman" w:hAnsi="Arial" w:cs="Times New Roman"/>
      <w:sz w:val="32"/>
      <w:szCs w:val="20"/>
    </w:rPr>
  </w:style>
  <w:style w:type="character" w:customStyle="1" w:styleId="Heading3Char">
    <w:name w:val="Heading 3 Char"/>
    <w:basedOn w:val="DefaultParagraphFont"/>
    <w:link w:val="Heading3"/>
    <w:rsid w:val="004C3466"/>
    <w:rPr>
      <w:rFonts w:ascii="Arial" w:eastAsia="Times New Roman" w:hAnsi="Arial" w:cs="Times New Roman"/>
      <w:sz w:val="28"/>
      <w:szCs w:val="20"/>
    </w:rPr>
  </w:style>
  <w:style w:type="character" w:customStyle="1" w:styleId="Heading8Char">
    <w:name w:val="Heading 8 Char"/>
    <w:basedOn w:val="DefaultParagraphFont"/>
    <w:link w:val="Heading8"/>
    <w:rsid w:val="004C3466"/>
    <w:rPr>
      <w:rFonts w:ascii="Arial" w:eastAsia="Times New Roman" w:hAnsi="Arial" w:cs="Times New Roman"/>
      <w:sz w:val="36"/>
      <w:szCs w:val="20"/>
    </w:rPr>
  </w:style>
  <w:style w:type="paragraph" w:customStyle="1" w:styleId="TAL">
    <w:name w:val="TAL"/>
    <w:basedOn w:val="Normal"/>
    <w:link w:val="TALChar"/>
    <w:rsid w:val="004C3466"/>
    <w:pPr>
      <w:keepNext/>
      <w:keepLines/>
      <w:spacing w:after="0"/>
    </w:pPr>
    <w:rPr>
      <w:rFonts w:ascii="Arial" w:hAnsi="Arial"/>
      <w:sz w:val="18"/>
    </w:rPr>
  </w:style>
  <w:style w:type="paragraph" w:customStyle="1" w:styleId="TAH">
    <w:name w:val="TAH"/>
    <w:basedOn w:val="Normal"/>
    <w:rsid w:val="004C3466"/>
    <w:pPr>
      <w:keepNext/>
      <w:keepLines/>
      <w:spacing w:after="0"/>
      <w:jc w:val="center"/>
    </w:pPr>
    <w:rPr>
      <w:rFonts w:ascii="Arial" w:hAnsi="Arial"/>
      <w:b/>
      <w:sz w:val="18"/>
    </w:rPr>
  </w:style>
  <w:style w:type="paragraph" w:customStyle="1" w:styleId="EX">
    <w:name w:val="EX"/>
    <w:basedOn w:val="Normal"/>
    <w:rsid w:val="004C3466"/>
    <w:pPr>
      <w:keepLines/>
      <w:ind w:left="1702" w:hanging="1418"/>
    </w:pPr>
  </w:style>
  <w:style w:type="paragraph" w:customStyle="1" w:styleId="TH">
    <w:name w:val="TH"/>
    <w:basedOn w:val="Normal"/>
    <w:next w:val="Normal"/>
    <w:rsid w:val="004C3466"/>
    <w:pPr>
      <w:keepNext/>
      <w:keepLines/>
      <w:spacing w:before="60"/>
      <w:jc w:val="center"/>
    </w:pPr>
    <w:rPr>
      <w:rFonts w:ascii="Arial" w:hAnsi="Arial"/>
      <w:b/>
    </w:rPr>
  </w:style>
  <w:style w:type="paragraph" w:customStyle="1" w:styleId="TAN">
    <w:name w:val="TAN"/>
    <w:basedOn w:val="TAL"/>
    <w:rsid w:val="004C3466"/>
    <w:pPr>
      <w:ind w:left="851" w:hanging="851"/>
    </w:pPr>
  </w:style>
  <w:style w:type="character" w:customStyle="1" w:styleId="TALChar">
    <w:name w:val="TAL Char"/>
    <w:link w:val="TAL"/>
    <w:locked/>
    <w:rsid w:val="004C3466"/>
    <w:rPr>
      <w:rFonts w:ascii="Arial" w:eastAsia="Times New Roman" w:hAnsi="Arial" w:cs="Times New Roman"/>
      <w:sz w:val="18"/>
      <w:szCs w:val="20"/>
    </w:rPr>
  </w:style>
  <w:style w:type="paragraph" w:styleId="ListParagraph">
    <w:name w:val="List Paragraph"/>
    <w:basedOn w:val="Normal"/>
    <w:uiPriority w:val="34"/>
    <w:qFormat/>
    <w:rsid w:val="00222B7B"/>
    <w:pPr>
      <w:ind w:left="720"/>
      <w:contextualSpacing/>
    </w:pPr>
  </w:style>
  <w:style w:type="paragraph" w:styleId="Caption">
    <w:name w:val="caption"/>
    <w:basedOn w:val="Normal"/>
    <w:next w:val="Normal"/>
    <w:uiPriority w:val="35"/>
    <w:unhideWhenUsed/>
    <w:qFormat/>
    <w:rsid w:val="00DA522D"/>
    <w:pPr>
      <w:spacing w:after="200"/>
    </w:pPr>
    <w:rPr>
      <w:i/>
      <w:iCs/>
      <w:color w:val="44546A" w:themeColor="text2"/>
      <w:sz w:val="18"/>
      <w:szCs w:val="18"/>
    </w:rPr>
  </w:style>
  <w:style w:type="paragraph" w:styleId="Revision">
    <w:name w:val="Revision"/>
    <w:hidden/>
    <w:uiPriority w:val="99"/>
    <w:semiHidden/>
    <w:rsid w:val="005273D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2422D"/>
    <w:rPr>
      <w:color w:val="0563C1" w:themeColor="hyperlink"/>
      <w:u w:val="single"/>
    </w:rPr>
  </w:style>
  <w:style w:type="character" w:styleId="UnresolvedMention">
    <w:name w:val="Unresolved Mention"/>
    <w:basedOn w:val="DefaultParagraphFont"/>
    <w:uiPriority w:val="99"/>
    <w:semiHidden/>
    <w:unhideWhenUsed/>
    <w:rsid w:val="00B2422D"/>
    <w:rPr>
      <w:color w:val="605E5C"/>
      <w:shd w:val="clear" w:color="auto" w:fill="E1DFDD"/>
    </w:rPr>
  </w:style>
  <w:style w:type="paragraph" w:styleId="Header">
    <w:name w:val="header"/>
    <w:basedOn w:val="Normal"/>
    <w:link w:val="HeaderChar"/>
    <w:uiPriority w:val="99"/>
    <w:unhideWhenUsed/>
    <w:rsid w:val="008C22CB"/>
    <w:pPr>
      <w:tabs>
        <w:tab w:val="center" w:pos="4680"/>
        <w:tab w:val="right" w:pos="9360"/>
      </w:tabs>
      <w:spacing w:after="0"/>
    </w:pPr>
  </w:style>
  <w:style w:type="character" w:customStyle="1" w:styleId="HeaderChar">
    <w:name w:val="Header Char"/>
    <w:basedOn w:val="DefaultParagraphFont"/>
    <w:link w:val="Header"/>
    <w:uiPriority w:val="99"/>
    <w:rsid w:val="008C22C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22CB"/>
    <w:pPr>
      <w:tabs>
        <w:tab w:val="center" w:pos="4680"/>
        <w:tab w:val="right" w:pos="9360"/>
      </w:tabs>
      <w:spacing w:after="0"/>
    </w:pPr>
  </w:style>
  <w:style w:type="character" w:customStyle="1" w:styleId="FooterChar">
    <w:name w:val="Footer Char"/>
    <w:basedOn w:val="DefaultParagraphFont"/>
    <w:link w:val="Footer"/>
    <w:uiPriority w:val="99"/>
    <w:rsid w:val="008C22CB"/>
    <w:rPr>
      <w:rFonts w:ascii="Times New Roman" w:eastAsia="Times New Roman" w:hAnsi="Times New Roman" w:cs="Times New Roman"/>
      <w:sz w:val="20"/>
      <w:szCs w:val="20"/>
    </w:rPr>
  </w:style>
  <w:style w:type="character" w:styleId="CommentReference">
    <w:name w:val="annotation reference"/>
    <w:semiHidden/>
    <w:rsid w:val="008C22CB"/>
    <w:rPr>
      <w:sz w:val="16"/>
      <w:szCs w:val="16"/>
    </w:rPr>
  </w:style>
  <w:style w:type="paragraph" w:styleId="CommentText">
    <w:name w:val="annotation text"/>
    <w:basedOn w:val="Normal"/>
    <w:link w:val="CommentTextChar"/>
    <w:semiHidden/>
    <w:rsid w:val="008C22CB"/>
  </w:style>
  <w:style w:type="character" w:customStyle="1" w:styleId="CommentTextChar">
    <w:name w:val="Comment Text Char"/>
    <w:basedOn w:val="DefaultParagraphFont"/>
    <w:link w:val="CommentText"/>
    <w:semiHidden/>
    <w:rsid w:val="008C22CB"/>
    <w:rPr>
      <w:rFonts w:ascii="Times New Roman" w:eastAsia="Times New Roman" w:hAnsi="Times New Roman" w:cs="Times New Roman"/>
      <w:sz w:val="20"/>
      <w:szCs w:val="20"/>
    </w:rPr>
  </w:style>
  <w:style w:type="character" w:customStyle="1" w:styleId="selected">
    <w:name w:val="selected"/>
    <w:basedOn w:val="DefaultParagraphFont"/>
    <w:rsid w:val="00760E01"/>
  </w:style>
  <w:style w:type="paragraph" w:styleId="NormalWeb">
    <w:name w:val="Normal (Web)"/>
    <w:basedOn w:val="Normal"/>
    <w:uiPriority w:val="99"/>
    <w:unhideWhenUsed/>
    <w:rsid w:val="00760E01"/>
    <w:pPr>
      <w:overflowPunct/>
      <w:autoSpaceDE/>
      <w:autoSpaceDN/>
      <w:adjustRightInd/>
      <w:spacing w:before="100" w:beforeAutospacing="1" w:after="100" w:afterAutospacing="1"/>
      <w:textAlignment w:val="auto"/>
    </w:pPr>
    <w:rPr>
      <w:sz w:val="24"/>
      <w:szCs w:val="24"/>
      <w:lang w:val="en-K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Forbes</dc:creator>
  <cp:keywords/>
  <dc:description/>
  <cp:lastModifiedBy>TR_104_180_v0.0.5</cp:lastModifiedBy>
  <cp:revision>4</cp:revision>
  <dcterms:created xsi:type="dcterms:W3CDTF">2025-10-22T12:44:00Z</dcterms:created>
  <dcterms:modified xsi:type="dcterms:W3CDTF">2025-10-23T05:21:00Z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1677257730</vt:lpwstr>
  </property>
</Properties>
</file>